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146110ds8.htm"/>
      <w:bookmarkStart w:id="1" w:name="ksd146110ds8"/>
      <w:bookmarkEnd w:id="0"/>
      <w:bookmarkEnd w:id="1"/>
      <w:r>
        <w:rPr>
          <w:rFonts w:ascii="Times New Roman" w:hAnsi="Times New Roman"/>
          <w:b/>
          <w:sz w:val="20"/>
        </w:rPr>
        <w:t xml:space="preserve">As filed with the Securities and Exchange Commission on August 10,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BlossomHill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85-1578711</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rHeight w:val="240" w:hRule="atLeast"/>
        </w:trPr>
        <w:tc>
          <w:tcPr>
            <w:tcW w:w="5153" w:type="dxa"/>
            <w:tcBorders/>
            <w:vAlign w:val="center"/>
          </w:tcPr>
          <w:p>
            <w:pPr>
              <w:pStyle w:val="TableContents"/>
              <w:bidi w:val="0"/>
              <w:spacing w:before="0" w:after="283"/>
              <w:jc w:val="left"/>
              <w:rPr>
                <w:sz w:val="4"/>
                <w:szCs w:val="4"/>
              </w:rPr>
            </w:pPr>
            <w:r>
              <w:rPr>
                <w:sz w:val="4"/>
                <w:szCs w:val="4"/>
              </w:rPr>
            </w:r>
          </w:p>
        </w:tc>
        <w:tc>
          <w:tcPr>
            <w:tcW w:w="5052" w:type="dxa"/>
            <w:gridSpan w:val="2"/>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20"/>
              </w:rPr>
            </w:pPr>
            <w:r>
              <w:rPr>
                <w:rFonts w:ascii="Times New Roman" w:hAnsi="Times New Roman"/>
                <w:b/>
                <w:sz w:val="20"/>
              </w:rPr>
              <w:t>10255 Science Center Drive</w:t>
            </w:r>
          </w:p>
          <w:p>
            <w:pPr>
              <w:pStyle w:val="TableContents"/>
              <w:bidi w:val="0"/>
              <w:spacing w:before="0" w:after="0"/>
              <w:jc w:val="center"/>
              <w:rPr>
                <w:rFonts w:ascii="Times New Roman" w:hAnsi="Times New Roman"/>
                <w:b/>
                <w:sz w:val="20"/>
              </w:rPr>
            </w:pPr>
            <w:r>
              <w:rPr>
                <w:rFonts w:ascii="Times New Roman" w:hAnsi="Times New Roman"/>
                <w:b/>
                <w:sz w:val="20"/>
              </w:rPr>
              <w:t>Suite 200</w:t>
            </w:r>
          </w:p>
          <w:p>
            <w:pPr>
              <w:pStyle w:val="TableContents"/>
              <w:bidi w:val="0"/>
              <w:spacing w:before="0" w:after="20"/>
              <w:jc w:val="center"/>
              <w:rPr>
                <w:rFonts w:ascii="Times New Roman" w:hAnsi="Times New Roman"/>
                <w:b/>
                <w:sz w:val="20"/>
              </w:rPr>
            </w:pPr>
            <w:r>
              <w:rPr>
                <w:rFonts w:ascii="Times New Roman" w:hAnsi="Times New Roman"/>
                <w:b/>
                <w:sz w:val="20"/>
              </w:rPr>
              <w:t>San Diego, California</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92121</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BlossomHill Therapeutics, Inc. 2020 Equity Incentive Plan, as amended </w:t>
      </w:r>
    </w:p>
    <w:p>
      <w:pPr>
        <w:pStyle w:val="TextBody"/>
        <w:bidi w:val="0"/>
        <w:spacing w:before="0" w:after="0"/>
        <w:jc w:val="center"/>
        <w:rPr>
          <w:rFonts w:ascii="Times New Roman" w:hAnsi="Times New Roman"/>
          <w:b/>
          <w:sz w:val="20"/>
        </w:rPr>
      </w:pPr>
      <w:r>
        <w:rPr>
          <w:rFonts w:ascii="Times New Roman" w:hAnsi="Times New Roman"/>
          <w:b/>
          <w:sz w:val="20"/>
        </w:rPr>
        <w:t xml:space="preserve">BlossomHill Therapeutics, Inc. 2026 Equity Incentive Plan </w:t>
      </w:r>
    </w:p>
    <w:p>
      <w:pPr>
        <w:pStyle w:val="TextBody"/>
        <w:bidi w:val="0"/>
        <w:spacing w:before="0" w:after="0"/>
        <w:jc w:val="center"/>
        <w:rPr>
          <w:rFonts w:ascii="Times New Roman" w:hAnsi="Times New Roman"/>
          <w:b/>
          <w:sz w:val="20"/>
        </w:rPr>
      </w:pPr>
      <w:r>
        <w:rPr>
          <w:rFonts w:ascii="Times New Roman" w:hAnsi="Times New Roman"/>
          <w:b/>
          <w:sz w:val="20"/>
        </w:rPr>
        <w:t xml:space="preserve">BlossomHill Therapeutics, Inc. 2026 Employee Stock Purchase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titles of the plans) </w:t>
      </w:r>
    </w:p>
    <w:p>
      <w:pPr>
        <w:pStyle w:val="TextBody"/>
        <w:bidi w:val="0"/>
        <w:spacing w:before="240" w:after="0"/>
        <w:jc w:val="center"/>
        <w:rPr>
          <w:rFonts w:ascii="Times New Roman" w:hAnsi="Times New Roman"/>
          <w:b/>
          <w:sz w:val="20"/>
        </w:rPr>
      </w:pPr>
      <w:r>
        <w:rPr>
          <w:rFonts w:ascii="Times New Roman" w:hAnsi="Times New Roman"/>
          <w:b/>
          <w:sz w:val="20"/>
        </w:rPr>
        <w:t xml:space="preserve">J. Jean Cui, Ph.D. </w:t>
      </w:r>
    </w:p>
    <w:p>
      <w:pPr>
        <w:pStyle w:val="TextBody"/>
        <w:bidi w:val="0"/>
        <w:spacing w:before="0" w:after="0"/>
        <w:jc w:val="center"/>
        <w:rPr>
          <w:rFonts w:ascii="Times New Roman" w:hAnsi="Times New Roman"/>
          <w:b/>
          <w:sz w:val="20"/>
        </w:rPr>
      </w:pPr>
      <w:r>
        <w:rPr>
          <w:rFonts w:ascii="Times New Roman" w:hAnsi="Times New Roman"/>
          <w:b/>
          <w:sz w:val="20"/>
        </w:rPr>
        <w:t xml:space="preserve">President and 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BlossomHill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10255 Science Center Drive, </w:t>
      </w:r>
    </w:p>
    <w:p>
      <w:pPr>
        <w:pStyle w:val="TextBody"/>
        <w:bidi w:val="0"/>
        <w:spacing w:before="0" w:after="0"/>
        <w:jc w:val="center"/>
        <w:rPr>
          <w:rFonts w:ascii="Times New Roman" w:hAnsi="Times New Roman"/>
          <w:b/>
          <w:sz w:val="20"/>
        </w:rPr>
      </w:pPr>
      <w:r>
        <w:rPr>
          <w:rFonts w:ascii="Times New Roman" w:hAnsi="Times New Roman"/>
          <w:b/>
          <w:sz w:val="20"/>
        </w:rPr>
        <w:t xml:space="preserve">Suite 200 </w:t>
      </w:r>
    </w:p>
    <w:p>
      <w:pPr>
        <w:pStyle w:val="TextBody"/>
        <w:bidi w:val="0"/>
        <w:spacing w:before="0" w:after="0"/>
        <w:jc w:val="center"/>
        <w:rPr>
          <w:rFonts w:ascii="Times New Roman" w:hAnsi="Times New Roman"/>
          <w:b/>
          <w:sz w:val="20"/>
        </w:rPr>
      </w:pPr>
      <w:r>
        <w:rPr>
          <w:rFonts w:ascii="Times New Roman" w:hAnsi="Times New Roman"/>
          <w:b/>
          <w:sz w:val="20"/>
        </w:rPr>
        <w:t xml:space="preserve">San Diego, California 92121 </w:t>
      </w:r>
    </w:p>
    <w:p>
      <w:pPr>
        <w:pStyle w:val="TextBody"/>
        <w:bidi w:val="0"/>
        <w:spacing w:before="0" w:after="0"/>
        <w:jc w:val="center"/>
        <w:rPr>
          <w:rFonts w:ascii="Times New Roman" w:hAnsi="Times New Roman"/>
          <w:b/>
          <w:sz w:val="20"/>
        </w:rPr>
      </w:pPr>
      <w:r>
        <w:rPr>
          <w:rFonts w:ascii="Times New Roman" w:hAnsi="Times New Roman"/>
          <w:b/>
          <w:sz w:val="20"/>
        </w:rPr>
        <w:t xml:space="preserve">(858) 732-3880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120" w:after="0"/>
        <w:jc w:val="center"/>
        <w:rPr>
          <w:rFonts w:ascii="Times New Roman" w:hAnsi="Times New Roman"/>
          <w:b/>
          <w:sz w:val="20"/>
        </w:rPr>
      </w:pPr>
      <w:r>
        <w:rPr>
          <w:rFonts w:ascii="Times New Roman" w:hAnsi="Times New Roman"/>
          <w:b/>
          <w:sz w:val="20"/>
        </w:rPr>
        <w:t xml:space="preserve">Kenneth J. Rollins </w:t>
      </w:r>
    </w:p>
    <w:p>
      <w:pPr>
        <w:pStyle w:val="TextBody"/>
        <w:bidi w:val="0"/>
        <w:spacing w:before="0" w:after="0"/>
        <w:jc w:val="center"/>
        <w:rPr>
          <w:rFonts w:ascii="Times New Roman" w:hAnsi="Times New Roman"/>
          <w:b/>
          <w:sz w:val="20"/>
        </w:rPr>
      </w:pPr>
      <w:r>
        <w:rPr>
          <w:rFonts w:ascii="Times New Roman" w:hAnsi="Times New Roman"/>
          <w:b/>
          <w:sz w:val="20"/>
        </w:rPr>
        <w:t xml:space="preserve">Charles S. Kim </w:t>
      </w:r>
    </w:p>
    <w:p>
      <w:pPr>
        <w:pStyle w:val="TextBody"/>
        <w:bidi w:val="0"/>
        <w:spacing w:before="0" w:after="0"/>
        <w:jc w:val="center"/>
        <w:rPr>
          <w:rFonts w:ascii="Times New Roman" w:hAnsi="Times New Roman"/>
          <w:b/>
          <w:sz w:val="20"/>
        </w:rPr>
      </w:pPr>
      <w:r>
        <w:rPr>
          <w:rFonts w:ascii="Times New Roman" w:hAnsi="Times New Roman"/>
          <w:b/>
          <w:sz w:val="20"/>
        </w:rPr>
        <w:t xml:space="preserve">Edmond J. Lay </w:t>
      </w:r>
    </w:p>
    <w:p>
      <w:pPr>
        <w:pStyle w:val="TextBody"/>
        <w:bidi w:val="0"/>
        <w:spacing w:before="0" w:after="0"/>
        <w:jc w:val="center"/>
        <w:rPr>
          <w:rFonts w:ascii="Times New Roman" w:hAnsi="Times New Roman"/>
          <w:b/>
          <w:sz w:val="20"/>
        </w:rPr>
      </w:pPr>
      <w:r>
        <w:rPr>
          <w:rFonts w:ascii="Times New Roman" w:hAnsi="Times New Roman"/>
          <w:b/>
          <w:sz w:val="20"/>
        </w:rPr>
        <w:t xml:space="preserve">Cooley LLP </w:t>
      </w:r>
    </w:p>
    <w:p>
      <w:pPr>
        <w:pStyle w:val="TextBody"/>
        <w:bidi w:val="0"/>
        <w:spacing w:before="0" w:after="0"/>
        <w:jc w:val="center"/>
        <w:rPr>
          <w:rFonts w:ascii="Times New Roman" w:hAnsi="Times New Roman"/>
          <w:b/>
          <w:sz w:val="20"/>
        </w:rPr>
      </w:pPr>
      <w:r>
        <w:rPr>
          <w:rFonts w:ascii="Times New Roman" w:hAnsi="Times New Roman"/>
          <w:b/>
          <w:sz w:val="20"/>
        </w:rPr>
        <w:t xml:space="preserve">10265 Science Center Drive </w:t>
      </w:r>
    </w:p>
    <w:p>
      <w:pPr>
        <w:pStyle w:val="TextBody"/>
        <w:bidi w:val="0"/>
        <w:spacing w:before="0" w:after="0"/>
        <w:jc w:val="center"/>
        <w:rPr>
          <w:rFonts w:ascii="Times New Roman" w:hAnsi="Times New Roman"/>
          <w:b/>
          <w:sz w:val="20"/>
        </w:rPr>
      </w:pPr>
      <w:r>
        <w:rPr>
          <w:rFonts w:ascii="Times New Roman" w:hAnsi="Times New Roman"/>
          <w:b/>
          <w:sz w:val="20"/>
        </w:rPr>
        <w:t xml:space="preserve">San Diego, CA 92121 </w:t>
      </w:r>
    </w:p>
    <w:p>
      <w:pPr>
        <w:pStyle w:val="TextBody"/>
        <w:bidi w:val="0"/>
        <w:spacing w:before="0" w:after="0"/>
        <w:jc w:val="center"/>
        <w:rPr>
          <w:rFonts w:ascii="Times New Roman" w:hAnsi="Times New Roman"/>
          <w:b/>
          <w:sz w:val="20"/>
        </w:rPr>
      </w:pPr>
      <w:r>
        <w:rPr>
          <w:rFonts w:ascii="Times New Roman" w:hAnsi="Times New Roman"/>
          <w:b/>
          <w:sz w:val="20"/>
        </w:rPr>
        <w:t xml:space="preserve">(858) 550-6000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3"/>
        <w:gridCol w:w="103"/>
        <w:gridCol w:w="4808"/>
        <w:gridCol w:w="126"/>
        <w:gridCol w:w="2616"/>
        <w:gridCol w:w="103"/>
        <w:gridCol w:w="256"/>
      </w:tblGrid>
      <w:tr>
        <w:trPr/>
        <w:tc>
          <w:tcPr>
            <w:tcW w:w="219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REQUIRED IN THE SECTION 10(A)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called for by Part I of Form S-8 is omitted from this Registration Statement in accordance with Rule 428 of the Securities Act of 1933, as amended (the “Securities Act”) and the instructions to Form S-8. In accordance with the rules and regulations of the Securities and Exchange Commission (the “Commission”) and the instructions to Form S-8, such documents are not being filed with the Commission either as part of this Registration Statement or as prospectuses or prospectus supplements pursuant to Rule 424 of the Securities Act. </w:t>
      </w:r>
    </w:p>
    <w:p>
      <w:pPr>
        <w:pStyle w:val="TextBody"/>
        <w:bidi w:val="0"/>
        <w:spacing w:before="24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Item 3. Incorporation of Documents by Reference. </w:t>
      </w:r>
    </w:p>
    <w:p>
      <w:pPr>
        <w:pStyle w:val="TextBody"/>
        <w:bidi w:val="0"/>
        <w:spacing w:before="120" w:after="0"/>
        <w:jc w:val="left"/>
        <w:rPr>
          <w:rFonts w:ascii="Times New Roman" w:hAnsi="Times New Roman"/>
          <w:sz w:val="20"/>
        </w:rPr>
      </w:pPr>
      <w:r>
        <w:rPr>
          <w:rFonts w:ascii="Times New Roman" w:hAnsi="Times New Roman"/>
          <w:sz w:val="20"/>
        </w:rPr>
        <w:t xml:space="preserve">BlossomHill Therapeutics, Inc. (the “Registrant”) hereby incorporates by reference into this Registration Statement the following documents previously filed by the Registrant with the Commission: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pPr>
            <w:r>
              <w:rPr>
                <w:rFonts w:ascii="Times New Roman" w:hAnsi="Times New Roman"/>
                <w:sz w:val="20"/>
              </w:rPr>
              <w:t xml:space="preserve">The Registrant’s prospectus filed on August  7, 2026 pursuant to </w:t>
            </w:r>
            <w:hyperlink r:id="rId2">
              <w:r>
                <w:rPr>
                  <w:rStyle w:val="InternetLink"/>
                  <w:rFonts w:ascii="Times New Roman" w:hAnsi="Times New Roman"/>
                  <w:sz w:val="20"/>
                </w:rPr>
                <w:t>Rule 424(b)</w:t>
              </w:r>
            </w:hyperlink>
            <w:r>
              <w:rPr>
                <w:rFonts w:ascii="Times New Roman" w:hAnsi="Times New Roman"/>
                <w:sz w:val="20"/>
              </w:rPr>
              <w:t xml:space="preserve"> of the Securities Act relating to the Registrant’s Registration Statement on </w:t>
            </w:r>
            <w:hyperlink r:id="rId3">
              <w:r>
                <w:rPr>
                  <w:rStyle w:val="InternetLink"/>
                  <w:rFonts w:ascii="Times New Roman" w:hAnsi="Times New Roman"/>
                  <w:sz w:val="20"/>
                </w:rPr>
                <w:t>Form S-1</w:t>
              </w:r>
            </w:hyperlink>
            <w:r>
              <w:rPr>
                <w:rFonts w:ascii="Times New Roman" w:hAnsi="Times New Roman"/>
                <w:sz w:val="20"/>
              </w:rPr>
              <w:t xml:space="preserve">, as amended (File No. 333-297512), initially filed with the Commission on July 17, 2026, which contains audited financial statements for the Registrant’s latest fiscal year for which such statements have been filed;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pPr>
            <w:r>
              <w:rPr>
                <w:rFonts w:ascii="Times New Roman" w:hAnsi="Times New Roman"/>
                <w:sz w:val="20"/>
              </w:rPr>
              <w:t xml:space="preserve">The description of the Registrant’s Common Stock contained in the Registrant’s Registration Statement on </w:t>
            </w:r>
            <w:hyperlink r:id="rId4">
              <w:r>
                <w:rPr>
                  <w:rStyle w:val="InternetLink"/>
                  <w:rFonts w:ascii="Times New Roman" w:hAnsi="Times New Roman"/>
                  <w:sz w:val="20"/>
                </w:rPr>
                <w:t>Form 8-A</w:t>
              </w:r>
            </w:hyperlink>
            <w:r>
              <w:rPr>
                <w:rFonts w:ascii="Times New Roman" w:hAnsi="Times New Roman"/>
                <w:sz w:val="20"/>
              </w:rPr>
              <w:t xml:space="preserve"> filed on August 4, 2026 (File No. 001-43435) under Section 12(b) of the Securities Exchange Act of 1934, as amended (the “Exchange Act”), including any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filed by the Registrant pursuant to Section 13(a), 13(c), 14 or 15(d) of the Exchange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provided, however, that documents or portions thereof that are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herein or in any other subsequently filed document that also is or is deemed to be incorporated by reference herein modifies or supersedes such statement. Any such statement so modified or superseded shall not constitute a part of this Registration Statement, except as so modified or superseded. </w:t>
      </w:r>
    </w:p>
    <w:p>
      <w:pPr>
        <w:pStyle w:val="TextBody"/>
        <w:bidi w:val="0"/>
        <w:spacing w:before="360" w:after="0"/>
        <w:jc w:val="left"/>
        <w:rPr>
          <w:rFonts w:ascii="Times New Roman" w:hAnsi="Times New Roman"/>
          <w:b/>
          <w:sz w:val="20"/>
        </w:rPr>
      </w:pPr>
      <w:r>
        <w:rPr>
          <w:rFonts w:ascii="Times New Roman" w:hAnsi="Times New Roman"/>
          <w:b/>
          <w:sz w:val="20"/>
        </w:rPr>
        <w:t xml:space="preserve">Item 4. Description of Securities.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5. Interests of Named Experts and Counsel.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6.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As permitted by Sections 102 and 145 of the General Corporation Law of the State of Delaware (the “DGCL”), the Registrant has adopted provisions in its amended and restated certificate of incorporation and amended and restated bylaws that limit or eliminate the personal liability of its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the Registrant or its stockholders for monetary damages for breach of fiduciary duty as a director, except for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 director’s duty of loyalty to the Registrant or its stockholders;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 or omission not in good faith or that involves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 related to unlawful stock repurchases, redemptions or other distributions or payment of dividends;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 director derived an improper personal benefit.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of liability do not affect the availability of equitable remedies such as injunctive relief or rescission. The Registrant’s amended and restated certificate of incorporation also authorizes it to indemnify its officers, directors and other agents to the fullest extent permitted under Delaware law. </w:t>
      </w:r>
    </w:p>
    <w:p>
      <w:pPr>
        <w:pStyle w:val="TextBody"/>
        <w:bidi w:val="0"/>
        <w:spacing w:before="240" w:after="0"/>
        <w:jc w:val="left"/>
        <w:rPr>
          <w:rFonts w:ascii="Times New Roman" w:hAnsi="Times New Roman"/>
          <w:sz w:val="20"/>
        </w:rPr>
      </w:pPr>
      <w:r>
        <w:rPr>
          <w:rFonts w:ascii="Times New Roman" w:hAnsi="Times New Roman"/>
          <w:sz w:val="20"/>
        </w:rPr>
        <w:t xml:space="preserve">As permitted by Section 145 of the DGCL, the Registrant’s amended and restated bylaws provide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 may indemnify its directors, officers, employees and other agents to the fullest extent permitted by the DGCL, subject to limited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 may advance expenses to its directors, officers and employees in connection with a legal proceeding, subject to limited exceptions;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provided in the Registrant’s bylaws are not exclusive.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Registrant’s amended and restated certificate of incorporation and its bylaws, as amended, provide for the indemnification provisions described above. The Registrant has entered or will enter into, and intends to continue to enter into, separate indemnification agreements with its directors and officers that may be broader than the specific indemnification provisions contained in the DGCL. These indemnification agreements generally require the Registrant to, among other things, indemnify its officers and directors against certain liabilities that may arise by reason of their status or service as directors or officers, other than liabilities arising from willful misconduct. These indemnification agreements also generally require the Registrant to advance any expenses incurred by the directors or officers as a result of any proceeding against them as to which they could be indemnified. These indemnification provisions and the indemnification agreements may be sufficiently broad to permit indemnification of the Registrant’s officers and directors for liabilities, including reimbursement of expenses incurred,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has purchased and currently intends to maintain insurance on behalf of each and every person who is one of its directors or officers, within the limits and subject to the terms and conditions thereof, against any loss arising from any claim asserted against him or her and incurred by him or her in any such capacity, subject to certain exclusions. </w:t>
      </w:r>
    </w:p>
    <w:p>
      <w:pPr>
        <w:pStyle w:val="TextBody"/>
        <w:bidi w:val="0"/>
        <w:spacing w:before="360" w:after="0"/>
        <w:jc w:val="left"/>
        <w:rPr>
          <w:rFonts w:ascii="Times New Roman" w:hAnsi="Times New Roman"/>
          <w:b/>
          <w:sz w:val="20"/>
        </w:rPr>
      </w:pPr>
      <w:r>
        <w:rPr>
          <w:rFonts w:ascii="Times New Roman" w:hAnsi="Times New Roman"/>
          <w:b/>
          <w:sz w:val="20"/>
        </w:rPr>
        <w:t xml:space="preserve">Item 7. Exemption from Registration Claimed.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8. Exhibits. </w:t>
      </w:r>
    </w:p>
    <w:p>
      <w:pPr>
        <w:pStyle w:val="TextBody"/>
        <w:bidi w:val="0"/>
        <w:spacing w:before="120" w:after="0"/>
        <w:jc w:val="left"/>
        <w:rPr>
          <w:rFonts w:ascii="Times New Roman" w:hAnsi="Times New Roman"/>
          <w:sz w:val="20"/>
        </w:rPr>
      </w:pPr>
      <w:r>
        <w:rPr>
          <w:rFonts w:ascii="Times New Roman" w:hAnsi="Times New Roman"/>
          <w:sz w:val="20"/>
        </w:rPr>
        <w:t xml:space="preserve">The exhibits to this Registration Statement are listed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613"/>
        <w:gridCol w:w="506"/>
        <w:gridCol w:w="9086"/>
      </w:tblGrid>
      <w:tr>
        <w:trPr/>
        <w:tc>
          <w:tcPr>
            <w:tcW w:w="613" w:type="dxa"/>
            <w:tcBorders/>
            <w:vAlign w:val="center"/>
          </w:tcPr>
          <w:p>
            <w:pPr>
              <w:pStyle w:val="TableContents"/>
              <w:bidi w:val="0"/>
              <w:spacing w:before="0" w:after="283"/>
              <w:jc w:val="left"/>
              <w:rPr>
                <w:sz w:val="4"/>
                <w:szCs w:val="4"/>
              </w:rPr>
            </w:pPr>
            <w:r>
              <w:rPr>
                <w:sz w:val="4"/>
                <w:szCs w:val="4"/>
              </w:rPr>
            </w:r>
          </w:p>
        </w:tc>
        <w:tc>
          <w:tcPr>
            <w:tcW w:w="506" w:type="dxa"/>
            <w:tcBorders/>
            <w:vAlign w:val="bottom"/>
          </w:tcPr>
          <w:p>
            <w:pPr>
              <w:pStyle w:val="TableContents"/>
              <w:bidi w:val="0"/>
              <w:spacing w:before="0" w:after="283"/>
              <w:jc w:val="left"/>
              <w:rPr>
                <w:sz w:val="4"/>
                <w:szCs w:val="4"/>
              </w:rPr>
            </w:pPr>
            <w:r>
              <w:rPr>
                <w:sz w:val="4"/>
                <w:szCs w:val="4"/>
              </w:rPr>
            </w:r>
          </w:p>
        </w:tc>
        <w:tc>
          <w:tcPr>
            <w:tcW w:w="9086" w:type="dxa"/>
            <w:tcBorders/>
            <w:vAlign w:val="center"/>
          </w:tcPr>
          <w:p>
            <w:pPr>
              <w:pStyle w:val="TableContents"/>
              <w:bidi w:val="0"/>
              <w:spacing w:before="0" w:after="283"/>
              <w:jc w:val="left"/>
              <w:rPr>
                <w:sz w:val="4"/>
                <w:szCs w:val="4"/>
              </w:rPr>
            </w:pPr>
            <w:r>
              <w:rPr>
                <w:sz w:val="4"/>
                <w:szCs w:val="4"/>
              </w:rPr>
            </w:r>
          </w:p>
        </w:tc>
      </w:tr>
      <w:tr>
        <w:trPr/>
        <w:tc>
          <w:tcPr>
            <w:tcW w:w="613"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Number</w:t>
            </w:r>
          </w:p>
        </w:tc>
        <w:tc>
          <w:tcPr>
            <w:tcW w:w="506" w:type="dxa"/>
            <w:tcBorders/>
            <w:vAlign w:val="bottom"/>
          </w:tcPr>
          <w:p>
            <w:pPr>
              <w:pStyle w:val="TableContents"/>
              <w:bidi w:val="0"/>
              <w:spacing w:before="0" w:after="283"/>
              <w:jc w:val="left"/>
              <w:rPr/>
            </w:pPr>
            <w:r>
              <w:rPr/>
              <w:t>  </w:t>
            </w:r>
          </w:p>
        </w:tc>
        <w:tc>
          <w:tcPr>
            <w:tcW w:w="908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613" w:type="dxa"/>
            <w:tcBorders/>
            <w:vAlign w:val="center"/>
          </w:tcPr>
          <w:p>
            <w:pPr>
              <w:pStyle w:val="TableContents"/>
              <w:bidi w:val="0"/>
              <w:spacing w:before="0" w:after="283"/>
              <w:jc w:val="left"/>
              <w:rPr>
                <w:sz w:val="4"/>
                <w:szCs w:val="4"/>
              </w:rPr>
            </w:pPr>
            <w:r>
              <w:rPr>
                <w:sz w:val="4"/>
                <w:szCs w:val="4"/>
              </w:rPr>
            </w:r>
          </w:p>
        </w:tc>
        <w:tc>
          <w:tcPr>
            <w:tcW w:w="9592" w:type="dxa"/>
            <w:gridSpan w:val="2"/>
            <w:tcBorders/>
            <w:vAlign w:val="center"/>
          </w:tcPr>
          <w:p>
            <w:pPr>
              <w:pStyle w:val="TableContents"/>
              <w:bidi w:val="0"/>
              <w:spacing w:before="0" w:after="283"/>
              <w:jc w:val="left"/>
              <w:rPr>
                <w:sz w:val="4"/>
                <w:szCs w:val="4"/>
              </w:rPr>
            </w:pPr>
            <w:r>
              <w:rPr>
                <w:sz w:val="4"/>
                <w:szCs w:val="4"/>
              </w:rPr>
            </w:r>
          </w:p>
        </w:tc>
      </w:tr>
      <w:tr>
        <w:trPr/>
        <w:tc>
          <w:tcPr>
            <w:tcW w:w="613" w:type="dxa"/>
            <w:tcBorders/>
          </w:tcPr>
          <w:p>
            <w:pPr>
              <w:pStyle w:val="TableContents"/>
              <w:bidi w:val="0"/>
              <w:spacing w:before="0" w:after="283"/>
              <w:jc w:val="left"/>
              <w:rPr/>
            </w:pPr>
            <w:r>
              <w:rPr/>
              <w:t>4.1</w:t>
            </w:r>
          </w:p>
        </w:tc>
        <w:tc>
          <w:tcPr>
            <w:tcW w:w="506" w:type="dxa"/>
            <w:tcBorders/>
            <w:vAlign w:val="bottom"/>
          </w:tcPr>
          <w:p>
            <w:pPr>
              <w:pStyle w:val="TableContents"/>
              <w:bidi w:val="0"/>
              <w:spacing w:before="0" w:after="283"/>
              <w:jc w:val="left"/>
              <w:rPr/>
            </w:pPr>
            <w:r>
              <w:rPr/>
              <w:t>  </w:t>
            </w:r>
          </w:p>
        </w:tc>
        <w:tc>
          <w:tcPr>
            <w:tcW w:w="9086" w:type="dxa"/>
            <w:tcBorders/>
          </w:tcPr>
          <w:p>
            <w:pPr>
              <w:pStyle w:val="TableContents"/>
              <w:bidi w:val="0"/>
              <w:spacing w:before="0" w:after="283"/>
              <w:jc w:val="left"/>
              <w:rPr/>
            </w:pPr>
            <w:hyperlink r:id="rId5">
              <w:r>
                <w:rPr>
                  <w:rStyle w:val="InternetLink"/>
                </w:rPr>
                <w:t xml:space="preserve">Amended and Restated Certificate of Incorporation (incorporated herein by reference to Exhibit 3.1 to the Registrant’s Current Report on Form 8-K (File No. 001-43435), filed with the Commission on August 10, 2026). </w:t>
              </w:r>
            </w:hyperlink>
          </w:p>
        </w:tc>
      </w:tr>
      <w:tr>
        <w:trPr>
          <w:trHeight w:val="120" w:hRule="atLeast"/>
        </w:trPr>
        <w:tc>
          <w:tcPr>
            <w:tcW w:w="613" w:type="dxa"/>
            <w:tcBorders/>
            <w:vAlign w:val="center"/>
          </w:tcPr>
          <w:p>
            <w:pPr>
              <w:pStyle w:val="TableContents"/>
              <w:bidi w:val="0"/>
              <w:spacing w:before="0" w:after="283"/>
              <w:jc w:val="left"/>
              <w:rPr>
                <w:sz w:val="4"/>
                <w:szCs w:val="4"/>
              </w:rPr>
            </w:pPr>
            <w:r>
              <w:rPr>
                <w:sz w:val="4"/>
                <w:szCs w:val="4"/>
              </w:rPr>
            </w:r>
          </w:p>
        </w:tc>
        <w:tc>
          <w:tcPr>
            <w:tcW w:w="9592" w:type="dxa"/>
            <w:gridSpan w:val="2"/>
            <w:tcBorders/>
            <w:vAlign w:val="center"/>
          </w:tcPr>
          <w:p>
            <w:pPr>
              <w:pStyle w:val="TableContents"/>
              <w:bidi w:val="0"/>
              <w:spacing w:before="0" w:after="283"/>
              <w:jc w:val="left"/>
              <w:rPr>
                <w:sz w:val="4"/>
                <w:szCs w:val="4"/>
              </w:rPr>
            </w:pPr>
            <w:r>
              <w:rPr>
                <w:sz w:val="4"/>
                <w:szCs w:val="4"/>
              </w:rPr>
            </w:r>
          </w:p>
        </w:tc>
      </w:tr>
      <w:tr>
        <w:trPr/>
        <w:tc>
          <w:tcPr>
            <w:tcW w:w="613" w:type="dxa"/>
            <w:tcBorders/>
          </w:tcPr>
          <w:p>
            <w:pPr>
              <w:pStyle w:val="TableContents"/>
              <w:bidi w:val="0"/>
              <w:spacing w:before="0" w:after="283"/>
              <w:jc w:val="left"/>
              <w:rPr/>
            </w:pPr>
            <w:r>
              <w:rPr/>
              <w:t>4.2</w:t>
            </w:r>
          </w:p>
        </w:tc>
        <w:tc>
          <w:tcPr>
            <w:tcW w:w="506" w:type="dxa"/>
            <w:tcBorders/>
            <w:vAlign w:val="bottom"/>
          </w:tcPr>
          <w:p>
            <w:pPr>
              <w:pStyle w:val="TableContents"/>
              <w:bidi w:val="0"/>
              <w:spacing w:before="0" w:after="283"/>
              <w:jc w:val="left"/>
              <w:rPr/>
            </w:pPr>
            <w:r>
              <w:rPr/>
              <w:t>  </w:t>
            </w:r>
          </w:p>
        </w:tc>
        <w:tc>
          <w:tcPr>
            <w:tcW w:w="9086" w:type="dxa"/>
            <w:tcBorders/>
          </w:tcPr>
          <w:p>
            <w:pPr>
              <w:pStyle w:val="TableContents"/>
              <w:bidi w:val="0"/>
              <w:spacing w:before="0" w:after="283"/>
              <w:jc w:val="left"/>
              <w:rPr/>
            </w:pPr>
            <w:hyperlink r:id="rId6">
              <w:r>
                <w:rPr>
                  <w:rStyle w:val="InternetLink"/>
                </w:rPr>
                <w:t>Amended and Restated Bylaws (incorporated herein by reference to Exhibit 3.4 to the Registrant’s Registration Statement on Form S-1 (File No. 333-297512), filed with the Commission on July 17, 2026).</w:t>
              </w:r>
            </w:hyperlink>
          </w:p>
        </w:tc>
      </w:tr>
      <w:tr>
        <w:trPr>
          <w:trHeight w:val="120" w:hRule="atLeast"/>
        </w:trPr>
        <w:tc>
          <w:tcPr>
            <w:tcW w:w="613" w:type="dxa"/>
            <w:tcBorders/>
            <w:vAlign w:val="center"/>
          </w:tcPr>
          <w:p>
            <w:pPr>
              <w:pStyle w:val="TableContents"/>
              <w:bidi w:val="0"/>
              <w:spacing w:before="0" w:after="283"/>
              <w:jc w:val="left"/>
              <w:rPr>
                <w:sz w:val="4"/>
                <w:szCs w:val="4"/>
              </w:rPr>
            </w:pPr>
            <w:r>
              <w:rPr>
                <w:sz w:val="4"/>
                <w:szCs w:val="4"/>
              </w:rPr>
            </w:r>
          </w:p>
        </w:tc>
        <w:tc>
          <w:tcPr>
            <w:tcW w:w="9592" w:type="dxa"/>
            <w:gridSpan w:val="2"/>
            <w:tcBorders/>
            <w:vAlign w:val="center"/>
          </w:tcPr>
          <w:p>
            <w:pPr>
              <w:pStyle w:val="TableContents"/>
              <w:bidi w:val="0"/>
              <w:spacing w:before="0" w:after="283"/>
              <w:jc w:val="left"/>
              <w:rPr>
                <w:sz w:val="4"/>
                <w:szCs w:val="4"/>
              </w:rPr>
            </w:pPr>
            <w:r>
              <w:rPr>
                <w:sz w:val="4"/>
                <w:szCs w:val="4"/>
              </w:rPr>
            </w:r>
          </w:p>
        </w:tc>
      </w:tr>
      <w:tr>
        <w:trPr/>
        <w:tc>
          <w:tcPr>
            <w:tcW w:w="613" w:type="dxa"/>
            <w:tcBorders/>
          </w:tcPr>
          <w:p>
            <w:pPr>
              <w:pStyle w:val="TableContents"/>
              <w:bidi w:val="0"/>
              <w:spacing w:before="0" w:after="283"/>
              <w:jc w:val="left"/>
              <w:rPr/>
            </w:pPr>
            <w:r>
              <w:rPr/>
              <w:t>4.3</w:t>
            </w:r>
          </w:p>
        </w:tc>
        <w:tc>
          <w:tcPr>
            <w:tcW w:w="506" w:type="dxa"/>
            <w:tcBorders/>
            <w:vAlign w:val="bottom"/>
          </w:tcPr>
          <w:p>
            <w:pPr>
              <w:pStyle w:val="TableContents"/>
              <w:bidi w:val="0"/>
              <w:spacing w:before="0" w:after="283"/>
              <w:jc w:val="left"/>
              <w:rPr/>
            </w:pPr>
            <w:r>
              <w:rPr/>
              <w:t>  </w:t>
            </w:r>
          </w:p>
        </w:tc>
        <w:tc>
          <w:tcPr>
            <w:tcW w:w="9086" w:type="dxa"/>
            <w:tcBorders/>
          </w:tcPr>
          <w:p>
            <w:pPr>
              <w:pStyle w:val="TableContents"/>
              <w:bidi w:val="0"/>
              <w:spacing w:before="0" w:after="283"/>
              <w:jc w:val="left"/>
              <w:rPr/>
            </w:pPr>
            <w:hyperlink r:id="rId7">
              <w:r>
                <w:rPr>
                  <w:rStyle w:val="InternetLink"/>
                </w:rPr>
                <w:t>Form of Common Stock Certificate (incorporated herein by reference to Exhibit 4.1 to the Registrant’s Registration Statement on Form S-1/A (File No. 333-297512), filed with the Commission on August 3, 2026).</w:t>
              </w:r>
            </w:hyperlink>
          </w:p>
        </w:tc>
      </w:tr>
      <w:tr>
        <w:trPr>
          <w:trHeight w:val="120" w:hRule="atLeast"/>
        </w:trPr>
        <w:tc>
          <w:tcPr>
            <w:tcW w:w="613" w:type="dxa"/>
            <w:tcBorders/>
            <w:vAlign w:val="center"/>
          </w:tcPr>
          <w:p>
            <w:pPr>
              <w:pStyle w:val="TableContents"/>
              <w:bidi w:val="0"/>
              <w:spacing w:before="0" w:after="283"/>
              <w:jc w:val="left"/>
              <w:rPr>
                <w:sz w:val="4"/>
                <w:szCs w:val="4"/>
              </w:rPr>
            </w:pPr>
            <w:r>
              <w:rPr>
                <w:sz w:val="4"/>
                <w:szCs w:val="4"/>
              </w:rPr>
            </w:r>
          </w:p>
        </w:tc>
        <w:tc>
          <w:tcPr>
            <w:tcW w:w="9592" w:type="dxa"/>
            <w:gridSpan w:val="2"/>
            <w:tcBorders/>
            <w:vAlign w:val="center"/>
          </w:tcPr>
          <w:p>
            <w:pPr>
              <w:pStyle w:val="TableContents"/>
              <w:bidi w:val="0"/>
              <w:spacing w:before="0" w:after="283"/>
              <w:jc w:val="left"/>
              <w:rPr>
                <w:sz w:val="4"/>
                <w:szCs w:val="4"/>
              </w:rPr>
            </w:pPr>
            <w:r>
              <w:rPr>
                <w:sz w:val="4"/>
                <w:szCs w:val="4"/>
              </w:rPr>
            </w:r>
          </w:p>
        </w:tc>
      </w:tr>
      <w:tr>
        <w:trPr/>
        <w:tc>
          <w:tcPr>
            <w:tcW w:w="613" w:type="dxa"/>
            <w:tcBorders/>
          </w:tcPr>
          <w:p>
            <w:pPr>
              <w:pStyle w:val="TableContents"/>
              <w:bidi w:val="0"/>
              <w:spacing w:before="0" w:after="283"/>
              <w:jc w:val="left"/>
              <w:rPr/>
            </w:pPr>
            <w:r>
              <w:rPr/>
              <w:t>4.4</w:t>
            </w:r>
          </w:p>
        </w:tc>
        <w:tc>
          <w:tcPr>
            <w:tcW w:w="506" w:type="dxa"/>
            <w:tcBorders/>
            <w:vAlign w:val="bottom"/>
          </w:tcPr>
          <w:p>
            <w:pPr>
              <w:pStyle w:val="TableContents"/>
              <w:bidi w:val="0"/>
              <w:spacing w:before="0" w:after="283"/>
              <w:jc w:val="left"/>
              <w:rPr/>
            </w:pPr>
            <w:r>
              <w:rPr/>
              <w:t>  </w:t>
            </w:r>
          </w:p>
        </w:tc>
        <w:tc>
          <w:tcPr>
            <w:tcW w:w="9086" w:type="dxa"/>
            <w:tcBorders/>
          </w:tcPr>
          <w:p>
            <w:pPr>
              <w:pStyle w:val="TableContents"/>
              <w:bidi w:val="0"/>
              <w:spacing w:before="0" w:after="283"/>
              <w:jc w:val="left"/>
              <w:rPr/>
            </w:pPr>
            <w:hyperlink r:id="rId8">
              <w:r>
                <w:rPr>
                  <w:rStyle w:val="InternetLink"/>
                </w:rPr>
                <w:t>Third Amended and Restated Investor Rights Agreement, dated December  28, 2023, by and among the Registrant and the investors named therein (incorporated herein by reference to Exhibit 4.2 to the Registrant’s Registration Statement on Form S-1, as amended (File No. 333-297512), filed with the Commission on July 17, 2026).</w:t>
              </w:r>
            </w:hyperlink>
          </w:p>
        </w:tc>
      </w:tr>
      <w:tr>
        <w:trPr>
          <w:trHeight w:val="120" w:hRule="atLeast"/>
        </w:trPr>
        <w:tc>
          <w:tcPr>
            <w:tcW w:w="613" w:type="dxa"/>
            <w:tcBorders/>
            <w:vAlign w:val="center"/>
          </w:tcPr>
          <w:p>
            <w:pPr>
              <w:pStyle w:val="TableContents"/>
              <w:bidi w:val="0"/>
              <w:spacing w:before="0" w:after="283"/>
              <w:jc w:val="left"/>
              <w:rPr>
                <w:sz w:val="4"/>
                <w:szCs w:val="4"/>
              </w:rPr>
            </w:pPr>
            <w:r>
              <w:rPr>
                <w:sz w:val="4"/>
                <w:szCs w:val="4"/>
              </w:rPr>
            </w:r>
          </w:p>
        </w:tc>
        <w:tc>
          <w:tcPr>
            <w:tcW w:w="9592" w:type="dxa"/>
            <w:gridSpan w:val="2"/>
            <w:tcBorders/>
            <w:vAlign w:val="center"/>
          </w:tcPr>
          <w:p>
            <w:pPr>
              <w:pStyle w:val="TableContents"/>
              <w:bidi w:val="0"/>
              <w:spacing w:before="0" w:after="283"/>
              <w:jc w:val="left"/>
              <w:rPr>
                <w:sz w:val="4"/>
                <w:szCs w:val="4"/>
              </w:rPr>
            </w:pPr>
            <w:r>
              <w:rPr>
                <w:sz w:val="4"/>
                <w:szCs w:val="4"/>
              </w:rPr>
            </w:r>
          </w:p>
        </w:tc>
      </w:tr>
      <w:tr>
        <w:trPr/>
        <w:tc>
          <w:tcPr>
            <w:tcW w:w="613" w:type="dxa"/>
            <w:tcBorders/>
          </w:tcPr>
          <w:p>
            <w:pPr>
              <w:pStyle w:val="TableContents"/>
              <w:bidi w:val="0"/>
              <w:spacing w:before="0" w:after="283"/>
              <w:jc w:val="left"/>
              <w:rPr/>
            </w:pPr>
            <w:r>
              <w:rPr/>
              <w:t>5.1*</w:t>
            </w:r>
          </w:p>
        </w:tc>
        <w:tc>
          <w:tcPr>
            <w:tcW w:w="506" w:type="dxa"/>
            <w:tcBorders/>
            <w:vAlign w:val="bottom"/>
          </w:tcPr>
          <w:p>
            <w:pPr>
              <w:pStyle w:val="TableContents"/>
              <w:bidi w:val="0"/>
              <w:spacing w:before="0" w:after="283"/>
              <w:jc w:val="left"/>
              <w:rPr/>
            </w:pPr>
            <w:r>
              <w:rPr/>
              <w:t>  </w:t>
            </w:r>
          </w:p>
        </w:tc>
        <w:tc>
          <w:tcPr>
            <w:tcW w:w="9086" w:type="dxa"/>
            <w:tcBorders/>
          </w:tcPr>
          <w:p>
            <w:pPr>
              <w:pStyle w:val="TableContents"/>
              <w:bidi w:val="0"/>
              <w:spacing w:before="0" w:after="283"/>
              <w:jc w:val="left"/>
              <w:rPr/>
            </w:pPr>
            <w:hyperlink w:anchor="d146110dex51.htm">
              <w:r>
                <w:rPr>
                  <w:rStyle w:val="InternetLink"/>
                </w:rPr>
                <w:t xml:space="preserve">Opinion of Cooley LLP. </w:t>
              </w:r>
            </w:hyperlink>
          </w:p>
        </w:tc>
      </w:tr>
      <w:tr>
        <w:trPr>
          <w:trHeight w:val="120" w:hRule="atLeast"/>
        </w:trPr>
        <w:tc>
          <w:tcPr>
            <w:tcW w:w="613" w:type="dxa"/>
            <w:tcBorders/>
            <w:vAlign w:val="center"/>
          </w:tcPr>
          <w:p>
            <w:pPr>
              <w:pStyle w:val="TableContents"/>
              <w:bidi w:val="0"/>
              <w:spacing w:before="0" w:after="283"/>
              <w:jc w:val="left"/>
              <w:rPr>
                <w:sz w:val="4"/>
                <w:szCs w:val="4"/>
              </w:rPr>
            </w:pPr>
            <w:r>
              <w:rPr>
                <w:sz w:val="4"/>
                <w:szCs w:val="4"/>
              </w:rPr>
            </w:r>
          </w:p>
        </w:tc>
        <w:tc>
          <w:tcPr>
            <w:tcW w:w="9592" w:type="dxa"/>
            <w:gridSpan w:val="2"/>
            <w:tcBorders/>
            <w:vAlign w:val="center"/>
          </w:tcPr>
          <w:p>
            <w:pPr>
              <w:pStyle w:val="TableContents"/>
              <w:bidi w:val="0"/>
              <w:spacing w:before="0" w:after="283"/>
              <w:jc w:val="left"/>
              <w:rPr>
                <w:sz w:val="4"/>
                <w:szCs w:val="4"/>
              </w:rPr>
            </w:pPr>
            <w:r>
              <w:rPr>
                <w:sz w:val="4"/>
                <w:szCs w:val="4"/>
              </w:rPr>
            </w:r>
          </w:p>
        </w:tc>
      </w:tr>
      <w:tr>
        <w:trPr/>
        <w:tc>
          <w:tcPr>
            <w:tcW w:w="613" w:type="dxa"/>
            <w:tcBorders/>
          </w:tcPr>
          <w:p>
            <w:pPr>
              <w:pStyle w:val="TableContents"/>
              <w:bidi w:val="0"/>
              <w:spacing w:before="0" w:after="283"/>
              <w:jc w:val="left"/>
              <w:rPr/>
            </w:pPr>
            <w:r>
              <w:rPr/>
              <w:t>23.1*</w:t>
            </w:r>
          </w:p>
        </w:tc>
        <w:tc>
          <w:tcPr>
            <w:tcW w:w="506" w:type="dxa"/>
            <w:tcBorders/>
            <w:vAlign w:val="bottom"/>
          </w:tcPr>
          <w:p>
            <w:pPr>
              <w:pStyle w:val="TableContents"/>
              <w:bidi w:val="0"/>
              <w:spacing w:before="0" w:after="283"/>
              <w:jc w:val="left"/>
              <w:rPr/>
            </w:pPr>
            <w:r>
              <w:rPr/>
              <w:t>  </w:t>
            </w:r>
          </w:p>
        </w:tc>
        <w:tc>
          <w:tcPr>
            <w:tcW w:w="9086" w:type="dxa"/>
            <w:tcBorders/>
          </w:tcPr>
          <w:p>
            <w:pPr>
              <w:pStyle w:val="TableContents"/>
              <w:bidi w:val="0"/>
              <w:spacing w:before="0" w:after="283"/>
              <w:jc w:val="left"/>
              <w:rPr/>
            </w:pPr>
            <w:hyperlink w:anchor="d146110dex231.htm">
              <w:r>
                <w:rPr>
                  <w:rStyle w:val="InternetLink"/>
                </w:rPr>
                <w:t xml:space="preserve">Consent of Deloitte &amp; Touche LLP, independent registered public accounting firm. </w:t>
              </w:r>
            </w:hyperlink>
          </w:p>
        </w:tc>
      </w:tr>
      <w:tr>
        <w:trPr>
          <w:trHeight w:val="120" w:hRule="atLeast"/>
        </w:trPr>
        <w:tc>
          <w:tcPr>
            <w:tcW w:w="613" w:type="dxa"/>
            <w:tcBorders/>
            <w:vAlign w:val="center"/>
          </w:tcPr>
          <w:p>
            <w:pPr>
              <w:pStyle w:val="TableContents"/>
              <w:bidi w:val="0"/>
              <w:spacing w:before="0" w:after="283"/>
              <w:jc w:val="left"/>
              <w:rPr>
                <w:sz w:val="4"/>
                <w:szCs w:val="4"/>
              </w:rPr>
            </w:pPr>
            <w:r>
              <w:rPr>
                <w:sz w:val="4"/>
                <w:szCs w:val="4"/>
              </w:rPr>
            </w:r>
          </w:p>
        </w:tc>
        <w:tc>
          <w:tcPr>
            <w:tcW w:w="9592" w:type="dxa"/>
            <w:gridSpan w:val="2"/>
            <w:tcBorders/>
            <w:vAlign w:val="center"/>
          </w:tcPr>
          <w:p>
            <w:pPr>
              <w:pStyle w:val="TableContents"/>
              <w:bidi w:val="0"/>
              <w:spacing w:before="0" w:after="283"/>
              <w:jc w:val="left"/>
              <w:rPr>
                <w:sz w:val="4"/>
                <w:szCs w:val="4"/>
              </w:rPr>
            </w:pPr>
            <w:r>
              <w:rPr>
                <w:sz w:val="4"/>
                <w:szCs w:val="4"/>
              </w:rPr>
            </w:r>
          </w:p>
        </w:tc>
      </w:tr>
      <w:tr>
        <w:trPr/>
        <w:tc>
          <w:tcPr>
            <w:tcW w:w="613" w:type="dxa"/>
            <w:tcBorders/>
          </w:tcPr>
          <w:p>
            <w:pPr>
              <w:pStyle w:val="TableContents"/>
              <w:bidi w:val="0"/>
              <w:spacing w:before="0" w:after="283"/>
              <w:jc w:val="left"/>
              <w:rPr/>
            </w:pPr>
            <w:r>
              <w:rPr/>
              <w:t>23.2*</w:t>
            </w:r>
          </w:p>
        </w:tc>
        <w:tc>
          <w:tcPr>
            <w:tcW w:w="506" w:type="dxa"/>
            <w:tcBorders/>
            <w:vAlign w:val="bottom"/>
          </w:tcPr>
          <w:p>
            <w:pPr>
              <w:pStyle w:val="TableContents"/>
              <w:bidi w:val="0"/>
              <w:spacing w:before="0" w:after="283"/>
              <w:jc w:val="left"/>
              <w:rPr/>
            </w:pPr>
            <w:r>
              <w:rPr/>
              <w:t>  </w:t>
            </w:r>
          </w:p>
        </w:tc>
        <w:tc>
          <w:tcPr>
            <w:tcW w:w="9086" w:type="dxa"/>
            <w:tcBorders/>
          </w:tcPr>
          <w:p>
            <w:pPr>
              <w:pStyle w:val="TableContents"/>
              <w:bidi w:val="0"/>
              <w:spacing w:before="0" w:after="283"/>
              <w:jc w:val="left"/>
              <w:rPr/>
            </w:pPr>
            <w:hyperlink w:anchor="d146110dex51.htm">
              <w:r>
                <w:rPr>
                  <w:rStyle w:val="InternetLink"/>
                </w:rPr>
                <w:t xml:space="preserve">Consent of Cooley LLP (included in Exhibit 5.1). </w:t>
              </w:r>
            </w:hyperlink>
          </w:p>
        </w:tc>
      </w:tr>
      <w:tr>
        <w:trPr>
          <w:trHeight w:val="120" w:hRule="atLeast"/>
        </w:trPr>
        <w:tc>
          <w:tcPr>
            <w:tcW w:w="613" w:type="dxa"/>
            <w:tcBorders/>
            <w:vAlign w:val="center"/>
          </w:tcPr>
          <w:p>
            <w:pPr>
              <w:pStyle w:val="TableContents"/>
              <w:bidi w:val="0"/>
              <w:spacing w:before="0" w:after="283"/>
              <w:jc w:val="left"/>
              <w:rPr>
                <w:sz w:val="4"/>
                <w:szCs w:val="4"/>
              </w:rPr>
            </w:pPr>
            <w:r>
              <w:rPr>
                <w:sz w:val="4"/>
                <w:szCs w:val="4"/>
              </w:rPr>
            </w:r>
          </w:p>
        </w:tc>
        <w:tc>
          <w:tcPr>
            <w:tcW w:w="9592" w:type="dxa"/>
            <w:gridSpan w:val="2"/>
            <w:tcBorders/>
            <w:vAlign w:val="center"/>
          </w:tcPr>
          <w:p>
            <w:pPr>
              <w:pStyle w:val="TableContents"/>
              <w:bidi w:val="0"/>
              <w:spacing w:before="0" w:after="283"/>
              <w:jc w:val="left"/>
              <w:rPr>
                <w:sz w:val="4"/>
                <w:szCs w:val="4"/>
              </w:rPr>
            </w:pPr>
            <w:r>
              <w:rPr>
                <w:sz w:val="4"/>
                <w:szCs w:val="4"/>
              </w:rPr>
            </w:r>
          </w:p>
        </w:tc>
      </w:tr>
      <w:tr>
        <w:trPr/>
        <w:tc>
          <w:tcPr>
            <w:tcW w:w="613" w:type="dxa"/>
            <w:tcBorders/>
          </w:tcPr>
          <w:p>
            <w:pPr>
              <w:pStyle w:val="TableContents"/>
              <w:bidi w:val="0"/>
              <w:spacing w:before="0" w:after="283"/>
              <w:jc w:val="left"/>
              <w:rPr/>
            </w:pPr>
            <w:r>
              <w:rPr/>
              <w:t>24.1</w:t>
            </w:r>
          </w:p>
        </w:tc>
        <w:tc>
          <w:tcPr>
            <w:tcW w:w="506" w:type="dxa"/>
            <w:tcBorders/>
            <w:vAlign w:val="bottom"/>
          </w:tcPr>
          <w:p>
            <w:pPr>
              <w:pStyle w:val="TableContents"/>
              <w:bidi w:val="0"/>
              <w:spacing w:before="0" w:after="283"/>
              <w:jc w:val="left"/>
              <w:rPr/>
            </w:pPr>
            <w:r>
              <w:rPr/>
              <w:t>  </w:t>
            </w:r>
          </w:p>
        </w:tc>
        <w:tc>
          <w:tcPr>
            <w:tcW w:w="9086" w:type="dxa"/>
            <w:tcBorders/>
          </w:tcPr>
          <w:p>
            <w:pPr>
              <w:pStyle w:val="TableContents"/>
              <w:bidi w:val="0"/>
              <w:spacing w:before="0" w:after="283"/>
              <w:jc w:val="left"/>
              <w:rPr/>
            </w:pPr>
            <w:hyperlink w:anchor="sig">
              <w:r>
                <w:rPr>
                  <w:rStyle w:val="InternetLink"/>
                </w:rPr>
                <w:t xml:space="preserve">Power of Attorney (included on signature page). </w:t>
              </w:r>
            </w:hyperlink>
          </w:p>
        </w:tc>
      </w:tr>
      <w:tr>
        <w:trPr>
          <w:trHeight w:val="120" w:hRule="atLeast"/>
        </w:trPr>
        <w:tc>
          <w:tcPr>
            <w:tcW w:w="613" w:type="dxa"/>
            <w:tcBorders/>
            <w:vAlign w:val="center"/>
          </w:tcPr>
          <w:p>
            <w:pPr>
              <w:pStyle w:val="TableContents"/>
              <w:bidi w:val="0"/>
              <w:spacing w:before="0" w:after="283"/>
              <w:jc w:val="left"/>
              <w:rPr>
                <w:sz w:val="4"/>
                <w:szCs w:val="4"/>
              </w:rPr>
            </w:pPr>
            <w:r>
              <w:rPr>
                <w:sz w:val="4"/>
                <w:szCs w:val="4"/>
              </w:rPr>
            </w:r>
          </w:p>
        </w:tc>
        <w:tc>
          <w:tcPr>
            <w:tcW w:w="9592" w:type="dxa"/>
            <w:gridSpan w:val="2"/>
            <w:tcBorders/>
            <w:vAlign w:val="center"/>
          </w:tcPr>
          <w:p>
            <w:pPr>
              <w:pStyle w:val="TableContents"/>
              <w:bidi w:val="0"/>
              <w:spacing w:before="0" w:after="283"/>
              <w:jc w:val="left"/>
              <w:rPr>
                <w:sz w:val="4"/>
                <w:szCs w:val="4"/>
              </w:rPr>
            </w:pPr>
            <w:r>
              <w:rPr>
                <w:sz w:val="4"/>
                <w:szCs w:val="4"/>
              </w:rPr>
            </w:r>
          </w:p>
        </w:tc>
      </w:tr>
      <w:tr>
        <w:trPr/>
        <w:tc>
          <w:tcPr>
            <w:tcW w:w="613" w:type="dxa"/>
            <w:tcBorders/>
          </w:tcPr>
          <w:p>
            <w:pPr>
              <w:pStyle w:val="TableContents"/>
              <w:bidi w:val="0"/>
              <w:spacing w:before="0" w:after="283"/>
              <w:jc w:val="left"/>
              <w:rPr/>
            </w:pPr>
            <w:r>
              <w:rPr/>
              <w:t>99.1</w:t>
            </w:r>
          </w:p>
        </w:tc>
        <w:tc>
          <w:tcPr>
            <w:tcW w:w="506" w:type="dxa"/>
            <w:tcBorders/>
            <w:vAlign w:val="bottom"/>
          </w:tcPr>
          <w:p>
            <w:pPr>
              <w:pStyle w:val="TableContents"/>
              <w:bidi w:val="0"/>
              <w:spacing w:before="0" w:after="283"/>
              <w:jc w:val="left"/>
              <w:rPr/>
            </w:pPr>
            <w:r>
              <w:rPr/>
              <w:t>  </w:t>
            </w:r>
          </w:p>
        </w:tc>
        <w:tc>
          <w:tcPr>
            <w:tcW w:w="9086" w:type="dxa"/>
            <w:tcBorders/>
          </w:tcPr>
          <w:p>
            <w:pPr>
              <w:pStyle w:val="TableContents"/>
              <w:bidi w:val="0"/>
              <w:spacing w:before="0" w:after="283"/>
              <w:jc w:val="left"/>
              <w:rPr/>
            </w:pPr>
            <w:hyperlink r:id="rId9">
              <w:r>
                <w:rPr>
                  <w:rStyle w:val="InternetLink"/>
                </w:rPr>
                <w:t>BlossomHill Therapeutics, Inc. 2026 Equity Incentive Plan (incorporated herein by reference to Exhibit 10.2 to the Registrant’s Registration Statement on Form S-1/A (File No. 333-297512), filed with the Commission on August 3, 2026).</w:t>
              </w:r>
            </w:hyperlink>
          </w:p>
        </w:tc>
      </w:tr>
      <w:tr>
        <w:trPr>
          <w:trHeight w:val="120" w:hRule="atLeast"/>
        </w:trPr>
        <w:tc>
          <w:tcPr>
            <w:tcW w:w="613" w:type="dxa"/>
            <w:tcBorders/>
            <w:vAlign w:val="center"/>
          </w:tcPr>
          <w:p>
            <w:pPr>
              <w:pStyle w:val="TableContents"/>
              <w:bidi w:val="0"/>
              <w:spacing w:before="0" w:after="283"/>
              <w:jc w:val="left"/>
              <w:rPr>
                <w:sz w:val="4"/>
                <w:szCs w:val="4"/>
              </w:rPr>
            </w:pPr>
            <w:r>
              <w:rPr>
                <w:sz w:val="4"/>
                <w:szCs w:val="4"/>
              </w:rPr>
            </w:r>
          </w:p>
        </w:tc>
        <w:tc>
          <w:tcPr>
            <w:tcW w:w="9592" w:type="dxa"/>
            <w:gridSpan w:val="2"/>
            <w:tcBorders/>
            <w:vAlign w:val="center"/>
          </w:tcPr>
          <w:p>
            <w:pPr>
              <w:pStyle w:val="TableContents"/>
              <w:bidi w:val="0"/>
              <w:spacing w:before="0" w:after="283"/>
              <w:jc w:val="left"/>
              <w:rPr>
                <w:sz w:val="4"/>
                <w:szCs w:val="4"/>
              </w:rPr>
            </w:pPr>
            <w:r>
              <w:rPr>
                <w:sz w:val="4"/>
                <w:szCs w:val="4"/>
              </w:rPr>
            </w:r>
          </w:p>
        </w:tc>
      </w:tr>
      <w:tr>
        <w:trPr/>
        <w:tc>
          <w:tcPr>
            <w:tcW w:w="613" w:type="dxa"/>
            <w:tcBorders/>
          </w:tcPr>
          <w:p>
            <w:pPr>
              <w:pStyle w:val="TableContents"/>
              <w:bidi w:val="0"/>
              <w:spacing w:before="0" w:after="283"/>
              <w:jc w:val="left"/>
              <w:rPr/>
            </w:pPr>
            <w:r>
              <w:rPr/>
              <w:t>99.2</w:t>
            </w:r>
          </w:p>
        </w:tc>
        <w:tc>
          <w:tcPr>
            <w:tcW w:w="506" w:type="dxa"/>
            <w:tcBorders/>
            <w:vAlign w:val="bottom"/>
          </w:tcPr>
          <w:p>
            <w:pPr>
              <w:pStyle w:val="TableContents"/>
              <w:bidi w:val="0"/>
              <w:spacing w:before="0" w:after="283"/>
              <w:jc w:val="left"/>
              <w:rPr/>
            </w:pPr>
            <w:r>
              <w:rPr/>
              <w:t>  </w:t>
            </w:r>
          </w:p>
        </w:tc>
        <w:tc>
          <w:tcPr>
            <w:tcW w:w="9086" w:type="dxa"/>
            <w:tcBorders/>
          </w:tcPr>
          <w:p>
            <w:pPr>
              <w:pStyle w:val="TableContents"/>
              <w:bidi w:val="0"/>
              <w:spacing w:before="0" w:after="283"/>
              <w:jc w:val="left"/>
              <w:rPr/>
            </w:pPr>
            <w:hyperlink r:id="rId10">
              <w:r>
                <w:rPr>
                  <w:rStyle w:val="InternetLink"/>
                </w:rPr>
                <w:t>Forms of Stock Option Grant Notice, Option Agreement and Notice of Exercise under the BlossomHill Therapeutics, Inc. 2026 Equity Incentive Plan (incorporated herein by reference to Exhibit 10.3 to the Registrant’s Registration Statement on Form S-1/A (File No. 333-297512), filed with the Commission on July 17, 2026).</w:t>
              </w:r>
            </w:hyperlink>
          </w:p>
        </w:tc>
      </w:tr>
      <w:tr>
        <w:trPr>
          <w:trHeight w:val="120" w:hRule="atLeast"/>
        </w:trPr>
        <w:tc>
          <w:tcPr>
            <w:tcW w:w="613" w:type="dxa"/>
            <w:tcBorders/>
            <w:vAlign w:val="center"/>
          </w:tcPr>
          <w:p>
            <w:pPr>
              <w:pStyle w:val="TableContents"/>
              <w:bidi w:val="0"/>
              <w:spacing w:before="0" w:after="283"/>
              <w:jc w:val="left"/>
              <w:rPr>
                <w:sz w:val="4"/>
                <w:szCs w:val="4"/>
              </w:rPr>
            </w:pPr>
            <w:r>
              <w:rPr>
                <w:sz w:val="4"/>
                <w:szCs w:val="4"/>
              </w:rPr>
            </w:r>
          </w:p>
        </w:tc>
        <w:tc>
          <w:tcPr>
            <w:tcW w:w="9592" w:type="dxa"/>
            <w:gridSpan w:val="2"/>
            <w:tcBorders/>
            <w:vAlign w:val="center"/>
          </w:tcPr>
          <w:p>
            <w:pPr>
              <w:pStyle w:val="TableContents"/>
              <w:bidi w:val="0"/>
              <w:spacing w:before="0" w:after="283"/>
              <w:jc w:val="left"/>
              <w:rPr>
                <w:sz w:val="4"/>
                <w:szCs w:val="4"/>
              </w:rPr>
            </w:pPr>
            <w:r>
              <w:rPr>
                <w:sz w:val="4"/>
                <w:szCs w:val="4"/>
              </w:rPr>
            </w:r>
          </w:p>
        </w:tc>
      </w:tr>
      <w:tr>
        <w:trPr/>
        <w:tc>
          <w:tcPr>
            <w:tcW w:w="613" w:type="dxa"/>
            <w:tcBorders/>
          </w:tcPr>
          <w:p>
            <w:pPr>
              <w:pStyle w:val="TableContents"/>
              <w:bidi w:val="0"/>
              <w:spacing w:before="0" w:after="283"/>
              <w:jc w:val="left"/>
              <w:rPr/>
            </w:pPr>
            <w:r>
              <w:rPr/>
              <w:t>99.3</w:t>
            </w:r>
          </w:p>
        </w:tc>
        <w:tc>
          <w:tcPr>
            <w:tcW w:w="506" w:type="dxa"/>
            <w:tcBorders/>
            <w:vAlign w:val="bottom"/>
          </w:tcPr>
          <w:p>
            <w:pPr>
              <w:pStyle w:val="TableContents"/>
              <w:bidi w:val="0"/>
              <w:spacing w:before="0" w:after="283"/>
              <w:jc w:val="left"/>
              <w:rPr/>
            </w:pPr>
            <w:r>
              <w:rPr/>
              <w:t>  </w:t>
            </w:r>
          </w:p>
        </w:tc>
        <w:tc>
          <w:tcPr>
            <w:tcW w:w="9086" w:type="dxa"/>
            <w:tcBorders/>
          </w:tcPr>
          <w:p>
            <w:pPr>
              <w:pStyle w:val="TableContents"/>
              <w:bidi w:val="0"/>
              <w:spacing w:before="0" w:after="283"/>
              <w:jc w:val="left"/>
              <w:rPr/>
            </w:pPr>
            <w:hyperlink r:id="rId11">
              <w:r>
                <w:rPr>
                  <w:rStyle w:val="InternetLink"/>
                </w:rPr>
                <w:t>BlossomHill Therapeutics, Inc. 2026 Employee Stock Purchase Plan (incorporated herein by reference to Exhibit 10.4 to the Registrant’s Registration Statement on Form S-1/A (File No. 333-297512), filed with the Commission on August 3, 2026).</w:t>
              </w:r>
            </w:hyperlink>
          </w:p>
        </w:tc>
      </w:tr>
      <w:tr>
        <w:trPr>
          <w:trHeight w:val="120" w:hRule="atLeast"/>
        </w:trPr>
        <w:tc>
          <w:tcPr>
            <w:tcW w:w="613" w:type="dxa"/>
            <w:tcBorders/>
            <w:vAlign w:val="center"/>
          </w:tcPr>
          <w:p>
            <w:pPr>
              <w:pStyle w:val="TableContents"/>
              <w:bidi w:val="0"/>
              <w:spacing w:before="0" w:after="283"/>
              <w:jc w:val="left"/>
              <w:rPr>
                <w:sz w:val="4"/>
                <w:szCs w:val="4"/>
              </w:rPr>
            </w:pPr>
            <w:r>
              <w:rPr>
                <w:sz w:val="4"/>
                <w:szCs w:val="4"/>
              </w:rPr>
            </w:r>
          </w:p>
        </w:tc>
        <w:tc>
          <w:tcPr>
            <w:tcW w:w="9592" w:type="dxa"/>
            <w:gridSpan w:val="2"/>
            <w:tcBorders/>
            <w:vAlign w:val="center"/>
          </w:tcPr>
          <w:p>
            <w:pPr>
              <w:pStyle w:val="TableContents"/>
              <w:bidi w:val="0"/>
              <w:spacing w:before="0" w:after="283"/>
              <w:jc w:val="left"/>
              <w:rPr>
                <w:sz w:val="4"/>
                <w:szCs w:val="4"/>
              </w:rPr>
            </w:pPr>
            <w:r>
              <w:rPr>
                <w:sz w:val="4"/>
                <w:szCs w:val="4"/>
              </w:rPr>
            </w:r>
          </w:p>
        </w:tc>
      </w:tr>
      <w:tr>
        <w:trPr/>
        <w:tc>
          <w:tcPr>
            <w:tcW w:w="613" w:type="dxa"/>
            <w:tcBorders/>
          </w:tcPr>
          <w:p>
            <w:pPr>
              <w:pStyle w:val="TableContents"/>
              <w:bidi w:val="0"/>
              <w:spacing w:before="0" w:after="283"/>
              <w:jc w:val="left"/>
              <w:rPr/>
            </w:pPr>
            <w:r>
              <w:rPr/>
              <w:t>99.4</w:t>
            </w:r>
          </w:p>
        </w:tc>
        <w:tc>
          <w:tcPr>
            <w:tcW w:w="506" w:type="dxa"/>
            <w:tcBorders/>
            <w:vAlign w:val="bottom"/>
          </w:tcPr>
          <w:p>
            <w:pPr>
              <w:pStyle w:val="TableContents"/>
              <w:bidi w:val="0"/>
              <w:spacing w:before="0" w:after="283"/>
              <w:jc w:val="left"/>
              <w:rPr/>
            </w:pPr>
            <w:r>
              <w:rPr/>
              <w:t>  </w:t>
            </w:r>
          </w:p>
        </w:tc>
        <w:tc>
          <w:tcPr>
            <w:tcW w:w="9086" w:type="dxa"/>
            <w:tcBorders/>
          </w:tcPr>
          <w:p>
            <w:pPr>
              <w:pStyle w:val="TableContents"/>
              <w:bidi w:val="0"/>
              <w:spacing w:before="0" w:after="283"/>
              <w:jc w:val="left"/>
              <w:rPr/>
            </w:pPr>
            <w:hyperlink r:id="rId12">
              <w:r>
                <w:rPr>
                  <w:rStyle w:val="InternetLink"/>
                </w:rPr>
                <w:t xml:space="preserve">BlossomHill Therapeutics, Inc. 2020 Equity Incentive Plan, as amended (incorporated herein by reference to Exhibit 10.5 to the Registrant’s Registration Statement on Form S-1, as amended (File No. 333-297512), filed with the Commission on July 17, 2026). </w:t>
              </w:r>
            </w:hyperlink>
          </w:p>
        </w:tc>
      </w:tr>
      <w:tr>
        <w:trPr>
          <w:trHeight w:val="120" w:hRule="atLeast"/>
        </w:trPr>
        <w:tc>
          <w:tcPr>
            <w:tcW w:w="613" w:type="dxa"/>
            <w:tcBorders/>
            <w:vAlign w:val="center"/>
          </w:tcPr>
          <w:p>
            <w:pPr>
              <w:pStyle w:val="TableContents"/>
              <w:bidi w:val="0"/>
              <w:spacing w:before="0" w:after="283"/>
              <w:jc w:val="left"/>
              <w:rPr>
                <w:sz w:val="4"/>
                <w:szCs w:val="4"/>
              </w:rPr>
            </w:pPr>
            <w:r>
              <w:rPr>
                <w:sz w:val="4"/>
                <w:szCs w:val="4"/>
              </w:rPr>
            </w:r>
          </w:p>
        </w:tc>
        <w:tc>
          <w:tcPr>
            <w:tcW w:w="9592" w:type="dxa"/>
            <w:gridSpan w:val="2"/>
            <w:tcBorders/>
            <w:vAlign w:val="center"/>
          </w:tcPr>
          <w:p>
            <w:pPr>
              <w:pStyle w:val="TableContents"/>
              <w:bidi w:val="0"/>
              <w:spacing w:before="0" w:after="283"/>
              <w:jc w:val="left"/>
              <w:rPr>
                <w:sz w:val="4"/>
                <w:szCs w:val="4"/>
              </w:rPr>
            </w:pPr>
            <w:r>
              <w:rPr>
                <w:sz w:val="4"/>
                <w:szCs w:val="4"/>
              </w:rPr>
            </w:r>
          </w:p>
        </w:tc>
      </w:tr>
      <w:tr>
        <w:trPr/>
        <w:tc>
          <w:tcPr>
            <w:tcW w:w="613" w:type="dxa"/>
            <w:tcBorders/>
          </w:tcPr>
          <w:p>
            <w:pPr>
              <w:pStyle w:val="TableContents"/>
              <w:bidi w:val="0"/>
              <w:spacing w:before="0" w:after="283"/>
              <w:jc w:val="left"/>
              <w:rPr/>
            </w:pPr>
            <w:r>
              <w:rPr/>
              <w:t>99.5</w:t>
            </w:r>
          </w:p>
        </w:tc>
        <w:tc>
          <w:tcPr>
            <w:tcW w:w="506" w:type="dxa"/>
            <w:tcBorders/>
            <w:vAlign w:val="bottom"/>
          </w:tcPr>
          <w:p>
            <w:pPr>
              <w:pStyle w:val="TableContents"/>
              <w:bidi w:val="0"/>
              <w:spacing w:before="0" w:after="283"/>
              <w:jc w:val="left"/>
              <w:rPr/>
            </w:pPr>
            <w:r>
              <w:rPr/>
              <w:t>  </w:t>
            </w:r>
          </w:p>
        </w:tc>
        <w:tc>
          <w:tcPr>
            <w:tcW w:w="9086" w:type="dxa"/>
            <w:tcBorders/>
          </w:tcPr>
          <w:p>
            <w:pPr>
              <w:pStyle w:val="TableContents"/>
              <w:bidi w:val="0"/>
              <w:spacing w:before="0" w:after="283"/>
              <w:jc w:val="left"/>
              <w:rPr/>
            </w:pPr>
            <w:hyperlink r:id="rId13">
              <w:r>
                <w:rPr>
                  <w:rStyle w:val="InternetLink"/>
                </w:rPr>
                <w:t xml:space="preserve">Forms of Option Notice Agreement, Option Exercise Agreement and Early Exercise Stock Plan Agreement under BlossomHill Therapeutics, Inc. 2020 Equity Incentive Plan, as amended (incorporated herein by reference to Exhibit 10.6 to the Registrant’s Registration Statement on Form S-1 (File No. 333-297512), filed with the Commission on July 17, 2026). </w:t>
              </w:r>
            </w:hyperlink>
          </w:p>
        </w:tc>
      </w:tr>
      <w:tr>
        <w:trPr>
          <w:trHeight w:val="120" w:hRule="atLeast"/>
        </w:trPr>
        <w:tc>
          <w:tcPr>
            <w:tcW w:w="613" w:type="dxa"/>
            <w:tcBorders/>
            <w:vAlign w:val="center"/>
          </w:tcPr>
          <w:p>
            <w:pPr>
              <w:pStyle w:val="TableContents"/>
              <w:bidi w:val="0"/>
              <w:spacing w:before="0" w:after="283"/>
              <w:jc w:val="left"/>
              <w:rPr>
                <w:sz w:val="4"/>
                <w:szCs w:val="4"/>
              </w:rPr>
            </w:pPr>
            <w:r>
              <w:rPr>
                <w:sz w:val="4"/>
                <w:szCs w:val="4"/>
              </w:rPr>
            </w:r>
          </w:p>
        </w:tc>
        <w:tc>
          <w:tcPr>
            <w:tcW w:w="9592" w:type="dxa"/>
            <w:gridSpan w:val="2"/>
            <w:tcBorders/>
            <w:vAlign w:val="center"/>
          </w:tcPr>
          <w:p>
            <w:pPr>
              <w:pStyle w:val="TableContents"/>
              <w:bidi w:val="0"/>
              <w:spacing w:before="0" w:after="283"/>
              <w:jc w:val="left"/>
              <w:rPr>
                <w:sz w:val="4"/>
                <w:szCs w:val="4"/>
              </w:rPr>
            </w:pPr>
            <w:r>
              <w:rPr>
                <w:sz w:val="4"/>
                <w:szCs w:val="4"/>
              </w:rPr>
            </w:r>
          </w:p>
        </w:tc>
      </w:tr>
      <w:tr>
        <w:trPr/>
        <w:tc>
          <w:tcPr>
            <w:tcW w:w="613" w:type="dxa"/>
            <w:tcBorders/>
          </w:tcPr>
          <w:p>
            <w:pPr>
              <w:pStyle w:val="TableContents"/>
              <w:bidi w:val="0"/>
              <w:spacing w:before="0" w:after="283"/>
              <w:jc w:val="left"/>
              <w:rPr/>
            </w:pPr>
            <w:r>
              <w:rPr/>
              <w:t>107*</w:t>
            </w:r>
          </w:p>
        </w:tc>
        <w:tc>
          <w:tcPr>
            <w:tcW w:w="506" w:type="dxa"/>
            <w:tcBorders/>
            <w:vAlign w:val="bottom"/>
          </w:tcPr>
          <w:p>
            <w:pPr>
              <w:pStyle w:val="TableContents"/>
              <w:bidi w:val="0"/>
              <w:spacing w:before="0" w:after="283"/>
              <w:jc w:val="left"/>
              <w:rPr/>
            </w:pPr>
            <w:r>
              <w:rPr/>
              <w:t>  </w:t>
            </w:r>
          </w:p>
        </w:tc>
        <w:tc>
          <w:tcPr>
            <w:tcW w:w="9086" w:type="dxa"/>
            <w:tcBorders/>
          </w:tcPr>
          <w:p>
            <w:pPr>
              <w:pStyle w:val="TableContents"/>
              <w:bidi w:val="0"/>
              <w:spacing w:before="0" w:after="283"/>
              <w:jc w:val="left"/>
              <w:rPr/>
            </w:pPr>
            <w:hyperlink w:anchor="d146110dexfilingfees.htm">
              <w:r>
                <w:rPr>
                  <w:rStyle w:val="InternetLink"/>
                </w:rPr>
                <w:t xml:space="preserve">Filing Fee Table. </w:t>
              </w:r>
            </w:hyperlink>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9. Undertakings.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(a)(1)(i) and (a)(1)(ii) do not apply if the Registration Statement is on Form S-8, and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 Diego, California, on August 10,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BLOSSOMHILL THERAPEUTICS,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 Jean Cui, Ph.D.</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J. Jean Cui, Ph.D.</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President and Chief Executive Officer</w:t>
            </w:r>
          </w:p>
        </w:tc>
      </w:tr>
    </w:tbl>
    <w:p>
      <w:pPr>
        <w:pStyle w:val="TextBody"/>
        <w:bidi w:val="0"/>
        <w:spacing w:before="240" w:after="0"/>
        <w:jc w:val="center"/>
        <w:rPr>
          <w:rFonts w:ascii="Times New Roman" w:hAnsi="Times New Roman"/>
          <w:b/>
          <w:sz w:val="20"/>
        </w:rPr>
      </w:pPr>
      <w:bookmarkStart w:id="2" w:name="sig"/>
      <w:bookmarkEnd w:id="2"/>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BY THESE PRESENTS, that each person whose signature appears below constitutes and appoints Jason Keyes, MBA and Vincent Liptak, J.D., Ph.D., MBA and each of them, as his or her true and lawful attorneys-in-fact and agents, and each of them, with the full power of substitution, for him or her and in his or her name, place or stead, in any and all capacities, to sign any and all amendments to this registration statement (including post-effective amendments),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his or her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14"/>
        <w:gridCol w:w="120"/>
        <w:gridCol w:w="4896"/>
        <w:gridCol w:w="120"/>
        <w:gridCol w:w="1755"/>
      </w:tblGrid>
      <w:tr>
        <w:trPr/>
        <w:tc>
          <w:tcPr>
            <w:tcW w:w="331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9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r>
      <w:tr>
        <w:trPr/>
        <w:tc>
          <w:tcPr>
            <w:tcW w:w="331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489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20" w:type="dxa"/>
            <w:tcBorders/>
            <w:vAlign w:val="bottom"/>
          </w:tcPr>
          <w:p>
            <w:pPr>
              <w:pStyle w:val="TableContents"/>
              <w:bidi w:val="0"/>
              <w:spacing w:before="0" w:after="283"/>
              <w:jc w:val="left"/>
              <w:rPr/>
            </w:pPr>
            <w:r>
              <w:rPr/>
              <w:t>  </w:t>
            </w:r>
          </w:p>
        </w:tc>
        <w:tc>
          <w:tcPr>
            <w:tcW w:w="17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314" w:type="dxa"/>
            <w:tcBorders/>
            <w:vAlign w:val="center"/>
          </w:tcPr>
          <w:p>
            <w:pPr>
              <w:pStyle w:val="TableContents"/>
              <w:bidi w:val="0"/>
              <w:spacing w:before="0" w:after="283"/>
              <w:jc w:val="left"/>
              <w:rPr>
                <w:sz w:val="4"/>
                <w:szCs w:val="4"/>
              </w:rPr>
            </w:pPr>
            <w:r>
              <w:rPr>
                <w:sz w:val="4"/>
                <w:szCs w:val="4"/>
              </w:rPr>
            </w:r>
          </w:p>
        </w:tc>
        <w:tc>
          <w:tcPr>
            <w:tcW w:w="5016" w:type="dxa"/>
            <w:gridSpan w:val="2"/>
            <w:tcBorders/>
            <w:vAlign w:val="center"/>
          </w:tcPr>
          <w:p>
            <w:pPr>
              <w:pStyle w:val="TableContents"/>
              <w:bidi w:val="0"/>
              <w:spacing w:before="0" w:after="283"/>
              <w:jc w:val="left"/>
              <w:rPr>
                <w:sz w:val="4"/>
                <w:szCs w:val="4"/>
              </w:rPr>
            </w:pPr>
            <w:r>
              <w:rPr>
                <w:sz w:val="4"/>
                <w:szCs w:val="4"/>
              </w:rPr>
            </w:r>
          </w:p>
        </w:tc>
        <w:tc>
          <w:tcPr>
            <w:tcW w:w="1875" w:type="dxa"/>
            <w:gridSpan w:val="2"/>
            <w:tcBorders/>
            <w:vAlign w:val="center"/>
          </w:tcPr>
          <w:p>
            <w:pPr>
              <w:pStyle w:val="TableContents"/>
              <w:bidi w:val="0"/>
              <w:spacing w:before="0" w:after="283"/>
              <w:jc w:val="left"/>
              <w:rPr>
                <w:sz w:val="4"/>
                <w:szCs w:val="4"/>
              </w:rPr>
            </w:pPr>
            <w:r>
              <w:rPr>
                <w:sz w:val="4"/>
                <w:szCs w:val="4"/>
              </w:rPr>
            </w:r>
          </w:p>
        </w:tc>
      </w:tr>
      <w:tr>
        <w:trPr/>
        <w:tc>
          <w:tcPr>
            <w:tcW w:w="331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 Jean Cui, Ph.D.</w:t>
            </w:r>
          </w:p>
          <w:p>
            <w:pPr>
              <w:pStyle w:val="TableContents"/>
              <w:bidi w:val="0"/>
              <w:spacing w:before="0" w:after="20"/>
              <w:jc w:val="center"/>
              <w:rPr>
                <w:rFonts w:ascii="Times New Roman" w:hAnsi="Times New Roman"/>
                <w:sz w:val="20"/>
              </w:rPr>
            </w:pPr>
            <w:r>
              <w:rPr>
                <w:rFonts w:ascii="Times New Roman" w:hAnsi="Times New Roman"/>
                <w:sz w:val="20"/>
              </w:rPr>
              <w:t>J. Jean Cui, Ph.D.</w:t>
            </w:r>
          </w:p>
        </w:tc>
        <w:tc>
          <w:tcPr>
            <w:tcW w:w="120"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0"/>
              <w:jc w:val="center"/>
              <w:rPr>
                <w:rFonts w:ascii="Times New Roman" w:hAnsi="Times New Roman"/>
                <w:sz w:val="20"/>
              </w:rPr>
            </w:pPr>
            <w:r>
              <w:rPr>
                <w:rFonts w:ascii="Times New Roman" w:hAnsi="Times New Roman"/>
                <w:sz w:val="20"/>
              </w:rPr>
              <w:t>President, Chief Executive Officer and Director</w:t>
            </w:r>
          </w:p>
          <w:p>
            <w:pPr>
              <w:pStyle w:val="TableContents"/>
              <w:bidi w:val="0"/>
              <w:spacing w:before="0" w:after="20"/>
              <w:jc w:val="center"/>
              <w:rPr>
                <w:rFonts w:ascii="Times New Roman" w:hAnsi="Times New Roman"/>
                <w:sz w:val="20"/>
              </w:rPr>
            </w:pPr>
            <w:r>
              <w:rPr>
                <w:rFonts w:ascii="Times New Roman" w:hAnsi="Times New Roman"/>
                <w:sz w:val="20"/>
              </w:rPr>
              <w:t>(</w:t>
            </w:r>
            <w:r>
              <w:rPr>
                <w:rFonts w:ascii="Times New Roman" w:hAnsi="Times New Roman"/>
                <w:i/>
                <w:sz w:val="20"/>
              </w:rPr>
              <w:t>Principal Executive Officer</w:t>
            </w:r>
            <w:r>
              <w:rPr>
                <w:rFonts w:ascii="Times New Roman" w:hAnsi="Times New Roman"/>
                <w:sz w:val="20"/>
              </w:rPr>
              <w:t>)</w:t>
            </w:r>
          </w:p>
        </w:tc>
        <w:tc>
          <w:tcPr>
            <w:tcW w:w="120" w:type="dxa"/>
            <w:tcBorders/>
            <w:vAlign w:val="bottom"/>
          </w:tcPr>
          <w:p>
            <w:pPr>
              <w:pStyle w:val="TableContents"/>
              <w:bidi w:val="0"/>
              <w:spacing w:before="0" w:after="283"/>
              <w:jc w:val="left"/>
              <w:rPr/>
            </w:pPr>
            <w:r>
              <w:rPr/>
              <w:t>  </w:t>
            </w:r>
          </w:p>
        </w:tc>
        <w:tc>
          <w:tcPr>
            <w:tcW w:w="1755" w:type="dxa"/>
            <w:tcBorders/>
          </w:tcPr>
          <w:p>
            <w:pPr>
              <w:pStyle w:val="TableContents"/>
              <w:bidi w:val="0"/>
              <w:spacing w:before="0" w:after="283"/>
              <w:jc w:val="center"/>
              <w:rPr/>
            </w:pPr>
            <w:r>
              <w:rPr/>
              <w:t>August 10, 2026</w:t>
            </w:r>
          </w:p>
        </w:tc>
      </w:tr>
      <w:tr>
        <w:trPr>
          <w:trHeight w:val="240" w:hRule="atLeast"/>
        </w:trPr>
        <w:tc>
          <w:tcPr>
            <w:tcW w:w="3314" w:type="dxa"/>
            <w:tcBorders/>
            <w:vAlign w:val="center"/>
          </w:tcPr>
          <w:p>
            <w:pPr>
              <w:pStyle w:val="TableContents"/>
              <w:bidi w:val="0"/>
              <w:spacing w:before="0" w:after="283"/>
              <w:jc w:val="left"/>
              <w:rPr>
                <w:sz w:val="4"/>
                <w:szCs w:val="4"/>
              </w:rPr>
            </w:pPr>
            <w:r>
              <w:rPr>
                <w:sz w:val="4"/>
                <w:szCs w:val="4"/>
              </w:rPr>
            </w:r>
          </w:p>
        </w:tc>
        <w:tc>
          <w:tcPr>
            <w:tcW w:w="5016" w:type="dxa"/>
            <w:gridSpan w:val="2"/>
            <w:tcBorders/>
            <w:vAlign w:val="center"/>
          </w:tcPr>
          <w:p>
            <w:pPr>
              <w:pStyle w:val="TableContents"/>
              <w:bidi w:val="0"/>
              <w:spacing w:before="0" w:after="283"/>
              <w:jc w:val="left"/>
              <w:rPr>
                <w:sz w:val="4"/>
                <w:szCs w:val="4"/>
              </w:rPr>
            </w:pPr>
            <w:r>
              <w:rPr>
                <w:sz w:val="4"/>
                <w:szCs w:val="4"/>
              </w:rPr>
            </w:r>
          </w:p>
        </w:tc>
        <w:tc>
          <w:tcPr>
            <w:tcW w:w="1875" w:type="dxa"/>
            <w:gridSpan w:val="2"/>
            <w:tcBorders/>
            <w:vAlign w:val="center"/>
          </w:tcPr>
          <w:p>
            <w:pPr>
              <w:pStyle w:val="TableContents"/>
              <w:bidi w:val="0"/>
              <w:spacing w:before="0" w:after="283"/>
              <w:jc w:val="left"/>
              <w:rPr>
                <w:sz w:val="4"/>
                <w:szCs w:val="4"/>
              </w:rPr>
            </w:pPr>
            <w:r>
              <w:rPr>
                <w:sz w:val="4"/>
                <w:szCs w:val="4"/>
              </w:rPr>
            </w:r>
          </w:p>
        </w:tc>
      </w:tr>
      <w:tr>
        <w:trPr/>
        <w:tc>
          <w:tcPr>
            <w:tcW w:w="331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Jason Keyes, MBA</w:t>
            </w:r>
          </w:p>
          <w:p>
            <w:pPr>
              <w:pStyle w:val="TableContents"/>
              <w:bidi w:val="0"/>
              <w:spacing w:before="0" w:after="20"/>
              <w:jc w:val="center"/>
              <w:rPr>
                <w:rFonts w:ascii="Times New Roman" w:hAnsi="Times New Roman"/>
                <w:sz w:val="20"/>
              </w:rPr>
            </w:pPr>
            <w:r>
              <w:rPr>
                <w:rFonts w:ascii="Times New Roman" w:hAnsi="Times New Roman"/>
                <w:sz w:val="20"/>
              </w:rPr>
              <w:t>Jason Keyes, MBA</w:t>
            </w:r>
          </w:p>
        </w:tc>
        <w:tc>
          <w:tcPr>
            <w:tcW w:w="120"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20"/>
              <w:jc w:val="center"/>
              <w:rPr>
                <w:rFonts w:ascii="Times New Roman" w:hAnsi="Times New Roman"/>
                <w:sz w:val="20"/>
              </w:rPr>
            </w:pPr>
            <w:r>
              <w:rPr>
                <w:rFonts w:ascii="Times New Roman" w:hAnsi="Times New Roman"/>
                <w:sz w:val="20"/>
              </w:rPr>
              <w:t>(</w:t>
            </w:r>
            <w:r>
              <w:rPr>
                <w:rFonts w:ascii="Times New Roman" w:hAnsi="Times New Roman"/>
                <w:i/>
                <w:sz w:val="20"/>
              </w:rPr>
              <w:t>Principal Financial and</w:t>
            </w:r>
            <w:r>
              <w:rPr>
                <w:rFonts w:ascii="Times New Roman" w:hAnsi="Times New Roman"/>
                <w:sz w:val="20"/>
              </w:rPr>
              <w:t xml:space="preserve"> </w:t>
            </w:r>
            <w:r>
              <w:rPr>
                <w:rFonts w:ascii="Times New Roman" w:hAnsi="Times New Roman"/>
                <w:i/>
                <w:sz w:val="20"/>
              </w:rPr>
              <w:t>Accounting Officer</w:t>
            </w:r>
            <w:r>
              <w:rPr>
                <w:rFonts w:ascii="Times New Roman" w:hAnsi="Times New Roman"/>
                <w:sz w:val="20"/>
              </w:rPr>
              <w:t>)</w:t>
            </w:r>
          </w:p>
        </w:tc>
        <w:tc>
          <w:tcPr>
            <w:tcW w:w="120" w:type="dxa"/>
            <w:tcBorders/>
            <w:vAlign w:val="bottom"/>
          </w:tcPr>
          <w:p>
            <w:pPr>
              <w:pStyle w:val="TableContents"/>
              <w:bidi w:val="0"/>
              <w:spacing w:before="0" w:after="283"/>
              <w:jc w:val="left"/>
              <w:rPr/>
            </w:pPr>
            <w:r>
              <w:rPr/>
              <w:t>  </w:t>
            </w:r>
          </w:p>
        </w:tc>
        <w:tc>
          <w:tcPr>
            <w:tcW w:w="1755" w:type="dxa"/>
            <w:tcBorders/>
          </w:tcPr>
          <w:p>
            <w:pPr>
              <w:pStyle w:val="TableContents"/>
              <w:bidi w:val="0"/>
              <w:spacing w:before="0" w:after="283"/>
              <w:jc w:val="center"/>
              <w:rPr/>
            </w:pPr>
            <w:r>
              <w:rPr/>
              <w:t>August 10, 2026</w:t>
            </w:r>
          </w:p>
        </w:tc>
      </w:tr>
      <w:tr>
        <w:trPr>
          <w:trHeight w:val="240" w:hRule="atLeast"/>
        </w:trPr>
        <w:tc>
          <w:tcPr>
            <w:tcW w:w="3314" w:type="dxa"/>
            <w:tcBorders/>
            <w:vAlign w:val="center"/>
          </w:tcPr>
          <w:p>
            <w:pPr>
              <w:pStyle w:val="TableContents"/>
              <w:bidi w:val="0"/>
              <w:spacing w:before="0" w:after="283"/>
              <w:jc w:val="left"/>
              <w:rPr>
                <w:sz w:val="4"/>
                <w:szCs w:val="4"/>
              </w:rPr>
            </w:pPr>
            <w:r>
              <w:rPr>
                <w:sz w:val="4"/>
                <w:szCs w:val="4"/>
              </w:rPr>
            </w:r>
          </w:p>
        </w:tc>
        <w:tc>
          <w:tcPr>
            <w:tcW w:w="5016" w:type="dxa"/>
            <w:gridSpan w:val="2"/>
            <w:tcBorders/>
            <w:vAlign w:val="center"/>
          </w:tcPr>
          <w:p>
            <w:pPr>
              <w:pStyle w:val="TableContents"/>
              <w:bidi w:val="0"/>
              <w:spacing w:before="0" w:after="283"/>
              <w:jc w:val="left"/>
              <w:rPr>
                <w:sz w:val="4"/>
                <w:szCs w:val="4"/>
              </w:rPr>
            </w:pPr>
            <w:r>
              <w:rPr>
                <w:sz w:val="4"/>
                <w:szCs w:val="4"/>
              </w:rPr>
            </w:r>
          </w:p>
        </w:tc>
        <w:tc>
          <w:tcPr>
            <w:tcW w:w="1875" w:type="dxa"/>
            <w:gridSpan w:val="2"/>
            <w:tcBorders/>
            <w:vAlign w:val="center"/>
          </w:tcPr>
          <w:p>
            <w:pPr>
              <w:pStyle w:val="TableContents"/>
              <w:bidi w:val="0"/>
              <w:spacing w:before="0" w:after="283"/>
              <w:jc w:val="left"/>
              <w:rPr>
                <w:sz w:val="4"/>
                <w:szCs w:val="4"/>
              </w:rPr>
            </w:pPr>
            <w:r>
              <w:rPr>
                <w:sz w:val="4"/>
                <w:szCs w:val="4"/>
              </w:rPr>
            </w:r>
          </w:p>
        </w:tc>
      </w:tr>
      <w:tr>
        <w:trPr/>
        <w:tc>
          <w:tcPr>
            <w:tcW w:w="331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Y. Peter Li, Ph.D.</w:t>
            </w:r>
          </w:p>
          <w:p>
            <w:pPr>
              <w:pStyle w:val="TableContents"/>
              <w:bidi w:val="0"/>
              <w:spacing w:before="0" w:after="20"/>
              <w:jc w:val="center"/>
              <w:rPr>
                <w:rFonts w:ascii="Times New Roman" w:hAnsi="Times New Roman"/>
                <w:sz w:val="20"/>
              </w:rPr>
            </w:pPr>
            <w:r>
              <w:rPr>
                <w:rFonts w:ascii="Times New Roman" w:hAnsi="Times New Roman"/>
                <w:sz w:val="20"/>
              </w:rPr>
              <w:t>Y. Peter Li, Ph.D.</w:t>
            </w:r>
          </w:p>
        </w:tc>
        <w:tc>
          <w:tcPr>
            <w:tcW w:w="120"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283"/>
              <w:jc w:val="center"/>
              <w:rPr/>
            </w:pPr>
            <w:r>
              <w:rPr/>
              <w:t>Executive Chairman</w:t>
            </w:r>
          </w:p>
        </w:tc>
        <w:tc>
          <w:tcPr>
            <w:tcW w:w="120" w:type="dxa"/>
            <w:tcBorders/>
            <w:vAlign w:val="bottom"/>
          </w:tcPr>
          <w:p>
            <w:pPr>
              <w:pStyle w:val="TableContents"/>
              <w:bidi w:val="0"/>
              <w:spacing w:before="0" w:after="283"/>
              <w:jc w:val="left"/>
              <w:rPr/>
            </w:pPr>
            <w:r>
              <w:rPr/>
              <w:t>  </w:t>
            </w:r>
          </w:p>
        </w:tc>
        <w:tc>
          <w:tcPr>
            <w:tcW w:w="1755" w:type="dxa"/>
            <w:tcBorders/>
          </w:tcPr>
          <w:p>
            <w:pPr>
              <w:pStyle w:val="TableContents"/>
              <w:bidi w:val="0"/>
              <w:spacing w:before="0" w:after="283"/>
              <w:jc w:val="center"/>
              <w:rPr/>
            </w:pPr>
            <w:r>
              <w:rPr/>
              <w:t>August 10, 2026</w:t>
            </w:r>
          </w:p>
        </w:tc>
      </w:tr>
      <w:tr>
        <w:trPr>
          <w:trHeight w:val="240" w:hRule="atLeast"/>
        </w:trPr>
        <w:tc>
          <w:tcPr>
            <w:tcW w:w="3314" w:type="dxa"/>
            <w:tcBorders/>
            <w:vAlign w:val="center"/>
          </w:tcPr>
          <w:p>
            <w:pPr>
              <w:pStyle w:val="TableContents"/>
              <w:bidi w:val="0"/>
              <w:spacing w:before="0" w:after="283"/>
              <w:jc w:val="left"/>
              <w:rPr>
                <w:sz w:val="4"/>
                <w:szCs w:val="4"/>
              </w:rPr>
            </w:pPr>
            <w:r>
              <w:rPr>
                <w:sz w:val="4"/>
                <w:szCs w:val="4"/>
              </w:rPr>
            </w:r>
          </w:p>
        </w:tc>
        <w:tc>
          <w:tcPr>
            <w:tcW w:w="5016" w:type="dxa"/>
            <w:gridSpan w:val="2"/>
            <w:tcBorders/>
            <w:vAlign w:val="center"/>
          </w:tcPr>
          <w:p>
            <w:pPr>
              <w:pStyle w:val="TableContents"/>
              <w:bidi w:val="0"/>
              <w:spacing w:before="0" w:after="283"/>
              <w:jc w:val="left"/>
              <w:rPr>
                <w:sz w:val="4"/>
                <w:szCs w:val="4"/>
              </w:rPr>
            </w:pPr>
            <w:r>
              <w:rPr>
                <w:sz w:val="4"/>
                <w:szCs w:val="4"/>
              </w:rPr>
            </w:r>
          </w:p>
        </w:tc>
        <w:tc>
          <w:tcPr>
            <w:tcW w:w="1875" w:type="dxa"/>
            <w:gridSpan w:val="2"/>
            <w:tcBorders/>
            <w:vAlign w:val="center"/>
          </w:tcPr>
          <w:p>
            <w:pPr>
              <w:pStyle w:val="TableContents"/>
              <w:bidi w:val="0"/>
              <w:spacing w:before="0" w:after="283"/>
              <w:jc w:val="left"/>
              <w:rPr>
                <w:sz w:val="4"/>
                <w:szCs w:val="4"/>
              </w:rPr>
            </w:pPr>
            <w:r>
              <w:rPr>
                <w:sz w:val="4"/>
                <w:szCs w:val="4"/>
              </w:rPr>
            </w:r>
          </w:p>
        </w:tc>
      </w:tr>
      <w:tr>
        <w:trPr/>
        <w:tc>
          <w:tcPr>
            <w:tcW w:w="331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Sundeep Agrawal, M.D.</w:t>
            </w:r>
          </w:p>
          <w:p>
            <w:pPr>
              <w:pStyle w:val="TableContents"/>
              <w:bidi w:val="0"/>
              <w:spacing w:before="0" w:after="20"/>
              <w:jc w:val="center"/>
              <w:rPr>
                <w:rFonts w:ascii="Times New Roman" w:hAnsi="Times New Roman"/>
                <w:sz w:val="20"/>
              </w:rPr>
            </w:pPr>
            <w:r>
              <w:rPr>
                <w:rFonts w:ascii="Times New Roman" w:hAnsi="Times New Roman"/>
                <w:sz w:val="20"/>
              </w:rPr>
              <w:t>Sundeep Agrawal, M.D.</w:t>
            </w:r>
          </w:p>
        </w:tc>
        <w:tc>
          <w:tcPr>
            <w:tcW w:w="120"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1755" w:type="dxa"/>
            <w:tcBorders/>
          </w:tcPr>
          <w:p>
            <w:pPr>
              <w:pStyle w:val="TableContents"/>
              <w:bidi w:val="0"/>
              <w:spacing w:before="0" w:after="283"/>
              <w:jc w:val="center"/>
              <w:rPr/>
            </w:pPr>
            <w:r>
              <w:rPr/>
              <w:t>August 10, 2026</w:t>
            </w:r>
          </w:p>
        </w:tc>
      </w:tr>
      <w:tr>
        <w:trPr>
          <w:trHeight w:val="240" w:hRule="atLeast"/>
        </w:trPr>
        <w:tc>
          <w:tcPr>
            <w:tcW w:w="3314" w:type="dxa"/>
            <w:tcBorders/>
            <w:vAlign w:val="center"/>
          </w:tcPr>
          <w:p>
            <w:pPr>
              <w:pStyle w:val="TableContents"/>
              <w:bidi w:val="0"/>
              <w:spacing w:before="0" w:after="283"/>
              <w:jc w:val="left"/>
              <w:rPr>
                <w:sz w:val="4"/>
                <w:szCs w:val="4"/>
              </w:rPr>
            </w:pPr>
            <w:r>
              <w:rPr>
                <w:sz w:val="4"/>
                <w:szCs w:val="4"/>
              </w:rPr>
            </w:r>
          </w:p>
        </w:tc>
        <w:tc>
          <w:tcPr>
            <w:tcW w:w="5016" w:type="dxa"/>
            <w:gridSpan w:val="2"/>
            <w:tcBorders/>
            <w:vAlign w:val="center"/>
          </w:tcPr>
          <w:p>
            <w:pPr>
              <w:pStyle w:val="TableContents"/>
              <w:bidi w:val="0"/>
              <w:spacing w:before="0" w:after="283"/>
              <w:jc w:val="left"/>
              <w:rPr>
                <w:sz w:val="4"/>
                <w:szCs w:val="4"/>
              </w:rPr>
            </w:pPr>
            <w:r>
              <w:rPr>
                <w:sz w:val="4"/>
                <w:szCs w:val="4"/>
              </w:rPr>
            </w:r>
          </w:p>
        </w:tc>
        <w:tc>
          <w:tcPr>
            <w:tcW w:w="1875" w:type="dxa"/>
            <w:gridSpan w:val="2"/>
            <w:tcBorders/>
            <w:vAlign w:val="center"/>
          </w:tcPr>
          <w:p>
            <w:pPr>
              <w:pStyle w:val="TableContents"/>
              <w:bidi w:val="0"/>
              <w:spacing w:before="0" w:after="283"/>
              <w:jc w:val="left"/>
              <w:rPr>
                <w:sz w:val="4"/>
                <w:szCs w:val="4"/>
              </w:rPr>
            </w:pPr>
            <w:r>
              <w:rPr>
                <w:sz w:val="4"/>
                <w:szCs w:val="4"/>
              </w:rPr>
            </w:r>
          </w:p>
        </w:tc>
      </w:tr>
      <w:tr>
        <w:trPr/>
        <w:tc>
          <w:tcPr>
            <w:tcW w:w="331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Bihua Chen, MBA</w:t>
            </w:r>
          </w:p>
          <w:p>
            <w:pPr>
              <w:pStyle w:val="TableContents"/>
              <w:bidi w:val="0"/>
              <w:spacing w:before="0" w:after="20"/>
              <w:jc w:val="center"/>
              <w:rPr>
                <w:rFonts w:ascii="Times New Roman" w:hAnsi="Times New Roman"/>
                <w:sz w:val="20"/>
              </w:rPr>
            </w:pPr>
            <w:r>
              <w:rPr>
                <w:rFonts w:ascii="Times New Roman" w:hAnsi="Times New Roman"/>
                <w:sz w:val="20"/>
              </w:rPr>
              <w:t>Bihua Chen, MBA</w:t>
            </w:r>
          </w:p>
        </w:tc>
        <w:tc>
          <w:tcPr>
            <w:tcW w:w="120"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1755" w:type="dxa"/>
            <w:tcBorders/>
          </w:tcPr>
          <w:p>
            <w:pPr>
              <w:pStyle w:val="TableContents"/>
              <w:bidi w:val="0"/>
              <w:spacing w:before="0" w:after="283"/>
              <w:jc w:val="center"/>
              <w:rPr/>
            </w:pPr>
            <w:r>
              <w:rPr/>
              <w:t>August 10, 2026</w:t>
            </w:r>
          </w:p>
        </w:tc>
      </w:tr>
      <w:tr>
        <w:trPr>
          <w:trHeight w:val="240" w:hRule="atLeast"/>
        </w:trPr>
        <w:tc>
          <w:tcPr>
            <w:tcW w:w="3314" w:type="dxa"/>
            <w:tcBorders/>
            <w:vAlign w:val="center"/>
          </w:tcPr>
          <w:p>
            <w:pPr>
              <w:pStyle w:val="TableContents"/>
              <w:bidi w:val="0"/>
              <w:spacing w:before="0" w:after="283"/>
              <w:jc w:val="left"/>
              <w:rPr>
                <w:sz w:val="4"/>
                <w:szCs w:val="4"/>
              </w:rPr>
            </w:pPr>
            <w:r>
              <w:rPr>
                <w:sz w:val="4"/>
                <w:szCs w:val="4"/>
              </w:rPr>
            </w:r>
          </w:p>
        </w:tc>
        <w:tc>
          <w:tcPr>
            <w:tcW w:w="5016" w:type="dxa"/>
            <w:gridSpan w:val="2"/>
            <w:tcBorders/>
            <w:vAlign w:val="center"/>
          </w:tcPr>
          <w:p>
            <w:pPr>
              <w:pStyle w:val="TableContents"/>
              <w:bidi w:val="0"/>
              <w:spacing w:before="0" w:after="283"/>
              <w:jc w:val="left"/>
              <w:rPr>
                <w:sz w:val="4"/>
                <w:szCs w:val="4"/>
              </w:rPr>
            </w:pPr>
            <w:r>
              <w:rPr>
                <w:sz w:val="4"/>
                <w:szCs w:val="4"/>
              </w:rPr>
            </w:r>
          </w:p>
        </w:tc>
        <w:tc>
          <w:tcPr>
            <w:tcW w:w="1875" w:type="dxa"/>
            <w:gridSpan w:val="2"/>
            <w:tcBorders/>
            <w:vAlign w:val="center"/>
          </w:tcPr>
          <w:p>
            <w:pPr>
              <w:pStyle w:val="TableContents"/>
              <w:bidi w:val="0"/>
              <w:spacing w:before="0" w:after="283"/>
              <w:jc w:val="left"/>
              <w:rPr>
                <w:sz w:val="4"/>
                <w:szCs w:val="4"/>
              </w:rPr>
            </w:pPr>
            <w:r>
              <w:rPr>
                <w:sz w:val="4"/>
                <w:szCs w:val="4"/>
              </w:rPr>
            </w:r>
          </w:p>
        </w:tc>
      </w:tr>
      <w:tr>
        <w:trPr/>
        <w:tc>
          <w:tcPr>
            <w:tcW w:w="331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Carl L. Gordon, Ph.D., CFA</w:t>
            </w:r>
          </w:p>
          <w:p>
            <w:pPr>
              <w:pStyle w:val="TableContents"/>
              <w:bidi w:val="0"/>
              <w:spacing w:before="0" w:after="20"/>
              <w:jc w:val="center"/>
              <w:rPr>
                <w:rFonts w:ascii="Times New Roman" w:hAnsi="Times New Roman"/>
                <w:sz w:val="20"/>
              </w:rPr>
            </w:pPr>
            <w:r>
              <w:rPr>
                <w:rFonts w:ascii="Times New Roman" w:hAnsi="Times New Roman"/>
                <w:sz w:val="20"/>
              </w:rPr>
              <w:t>Carl L. Gordon, Ph.D., CFA</w:t>
            </w:r>
          </w:p>
        </w:tc>
        <w:tc>
          <w:tcPr>
            <w:tcW w:w="120"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1755" w:type="dxa"/>
            <w:tcBorders/>
          </w:tcPr>
          <w:p>
            <w:pPr>
              <w:pStyle w:val="TableContents"/>
              <w:bidi w:val="0"/>
              <w:spacing w:before="0" w:after="283"/>
              <w:jc w:val="center"/>
              <w:rPr/>
            </w:pPr>
            <w:r>
              <w:rPr/>
              <w:t>August 10, 2026</w:t>
            </w:r>
          </w:p>
        </w:tc>
      </w:tr>
      <w:tr>
        <w:trPr>
          <w:trHeight w:val="240" w:hRule="atLeast"/>
        </w:trPr>
        <w:tc>
          <w:tcPr>
            <w:tcW w:w="3314" w:type="dxa"/>
            <w:tcBorders/>
            <w:vAlign w:val="center"/>
          </w:tcPr>
          <w:p>
            <w:pPr>
              <w:pStyle w:val="TableContents"/>
              <w:bidi w:val="0"/>
              <w:spacing w:before="0" w:after="283"/>
              <w:jc w:val="left"/>
              <w:rPr>
                <w:sz w:val="4"/>
                <w:szCs w:val="4"/>
              </w:rPr>
            </w:pPr>
            <w:r>
              <w:rPr>
                <w:sz w:val="4"/>
                <w:szCs w:val="4"/>
              </w:rPr>
            </w:r>
          </w:p>
        </w:tc>
        <w:tc>
          <w:tcPr>
            <w:tcW w:w="5016" w:type="dxa"/>
            <w:gridSpan w:val="2"/>
            <w:tcBorders/>
            <w:vAlign w:val="center"/>
          </w:tcPr>
          <w:p>
            <w:pPr>
              <w:pStyle w:val="TableContents"/>
              <w:bidi w:val="0"/>
              <w:spacing w:before="0" w:after="283"/>
              <w:jc w:val="left"/>
              <w:rPr>
                <w:sz w:val="4"/>
                <w:szCs w:val="4"/>
              </w:rPr>
            </w:pPr>
            <w:r>
              <w:rPr>
                <w:sz w:val="4"/>
                <w:szCs w:val="4"/>
              </w:rPr>
            </w:r>
          </w:p>
        </w:tc>
        <w:tc>
          <w:tcPr>
            <w:tcW w:w="1875" w:type="dxa"/>
            <w:gridSpan w:val="2"/>
            <w:tcBorders/>
            <w:vAlign w:val="center"/>
          </w:tcPr>
          <w:p>
            <w:pPr>
              <w:pStyle w:val="TableContents"/>
              <w:bidi w:val="0"/>
              <w:spacing w:before="0" w:after="283"/>
              <w:jc w:val="left"/>
              <w:rPr>
                <w:sz w:val="4"/>
                <w:szCs w:val="4"/>
              </w:rPr>
            </w:pPr>
            <w:r>
              <w:rPr>
                <w:sz w:val="4"/>
                <w:szCs w:val="4"/>
              </w:rPr>
            </w:r>
          </w:p>
        </w:tc>
      </w:tr>
      <w:tr>
        <w:trPr/>
        <w:tc>
          <w:tcPr>
            <w:tcW w:w="331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Sheila Gujrathi, M.D.</w:t>
            </w:r>
          </w:p>
          <w:p>
            <w:pPr>
              <w:pStyle w:val="TableContents"/>
              <w:bidi w:val="0"/>
              <w:spacing w:before="0" w:after="20"/>
              <w:jc w:val="center"/>
              <w:rPr>
                <w:rFonts w:ascii="Times New Roman" w:hAnsi="Times New Roman"/>
                <w:sz w:val="20"/>
              </w:rPr>
            </w:pPr>
            <w:r>
              <w:rPr>
                <w:rFonts w:ascii="Times New Roman" w:hAnsi="Times New Roman"/>
                <w:sz w:val="20"/>
              </w:rPr>
              <w:t>Sheila Gujrathi, M.D.</w:t>
            </w:r>
          </w:p>
        </w:tc>
        <w:tc>
          <w:tcPr>
            <w:tcW w:w="120"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1755" w:type="dxa"/>
            <w:tcBorders/>
          </w:tcPr>
          <w:p>
            <w:pPr>
              <w:pStyle w:val="TableContents"/>
              <w:bidi w:val="0"/>
              <w:spacing w:before="0" w:after="283"/>
              <w:jc w:val="center"/>
              <w:rPr/>
            </w:pPr>
            <w:r>
              <w:rPr/>
              <w:t>August 10, 2026</w:t>
            </w:r>
          </w:p>
        </w:tc>
      </w:tr>
      <w:tr>
        <w:trPr>
          <w:trHeight w:val="240" w:hRule="atLeast"/>
        </w:trPr>
        <w:tc>
          <w:tcPr>
            <w:tcW w:w="3314" w:type="dxa"/>
            <w:tcBorders/>
            <w:vAlign w:val="center"/>
          </w:tcPr>
          <w:p>
            <w:pPr>
              <w:pStyle w:val="TableContents"/>
              <w:bidi w:val="0"/>
              <w:spacing w:before="0" w:after="283"/>
              <w:jc w:val="left"/>
              <w:rPr>
                <w:sz w:val="4"/>
                <w:szCs w:val="4"/>
              </w:rPr>
            </w:pPr>
            <w:r>
              <w:rPr>
                <w:sz w:val="4"/>
                <w:szCs w:val="4"/>
              </w:rPr>
            </w:r>
          </w:p>
        </w:tc>
        <w:tc>
          <w:tcPr>
            <w:tcW w:w="5016" w:type="dxa"/>
            <w:gridSpan w:val="2"/>
            <w:tcBorders/>
            <w:vAlign w:val="center"/>
          </w:tcPr>
          <w:p>
            <w:pPr>
              <w:pStyle w:val="TableContents"/>
              <w:bidi w:val="0"/>
              <w:spacing w:before="0" w:after="283"/>
              <w:jc w:val="left"/>
              <w:rPr>
                <w:sz w:val="4"/>
                <w:szCs w:val="4"/>
              </w:rPr>
            </w:pPr>
            <w:r>
              <w:rPr>
                <w:sz w:val="4"/>
                <w:szCs w:val="4"/>
              </w:rPr>
            </w:r>
          </w:p>
        </w:tc>
        <w:tc>
          <w:tcPr>
            <w:tcW w:w="1875" w:type="dxa"/>
            <w:gridSpan w:val="2"/>
            <w:tcBorders/>
            <w:vAlign w:val="center"/>
          </w:tcPr>
          <w:p>
            <w:pPr>
              <w:pStyle w:val="TableContents"/>
              <w:bidi w:val="0"/>
              <w:spacing w:before="0" w:after="283"/>
              <w:jc w:val="left"/>
              <w:rPr>
                <w:sz w:val="4"/>
                <w:szCs w:val="4"/>
              </w:rPr>
            </w:pPr>
            <w:r>
              <w:rPr>
                <w:sz w:val="4"/>
                <w:szCs w:val="4"/>
              </w:rPr>
            </w:r>
          </w:p>
        </w:tc>
      </w:tr>
      <w:tr>
        <w:trPr/>
        <w:tc>
          <w:tcPr>
            <w:tcW w:w="331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John Schmid, MBA</w:t>
            </w:r>
          </w:p>
          <w:p>
            <w:pPr>
              <w:pStyle w:val="TableContents"/>
              <w:bidi w:val="0"/>
              <w:spacing w:before="0" w:after="20"/>
              <w:jc w:val="center"/>
              <w:rPr>
                <w:rFonts w:ascii="Times New Roman" w:hAnsi="Times New Roman"/>
                <w:sz w:val="20"/>
              </w:rPr>
            </w:pPr>
            <w:r>
              <w:rPr>
                <w:rFonts w:ascii="Times New Roman" w:hAnsi="Times New Roman"/>
                <w:sz w:val="20"/>
              </w:rPr>
              <w:t>John Schmid, MBA</w:t>
            </w:r>
          </w:p>
        </w:tc>
        <w:tc>
          <w:tcPr>
            <w:tcW w:w="120"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1755" w:type="dxa"/>
            <w:tcBorders/>
          </w:tcPr>
          <w:p>
            <w:pPr>
              <w:pStyle w:val="TableContents"/>
              <w:bidi w:val="0"/>
              <w:spacing w:before="0" w:after="283"/>
              <w:jc w:val="center"/>
              <w:rPr/>
            </w:pPr>
            <w:r>
              <w:rPr/>
              <w:t>August 10,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p>
    <w:p>
      <w:pPr>
        <w:pStyle w:val="TextBody"/>
        <w:bidi w:val="0"/>
        <w:spacing w:before="0" w:after="0"/>
        <w:jc w:val="right"/>
        <w:rPr>
          <w:rFonts w:ascii="Times New Roman" w:hAnsi="Times New Roman"/>
          <w:sz w:val="20"/>
        </w:rPr>
      </w:pPr>
      <w:bookmarkStart w:id="3" w:name="d146110dex51.htm"/>
      <w:bookmarkStart w:id="4" w:name="ksd146110dex51"/>
      <w:bookmarkEnd w:id="3"/>
      <w:bookmarkEnd w:id="4"/>
      <w:r>
        <w:rPr>
          <w:rFonts w:ascii="Times New Roman" w:hAnsi="Times New Roman"/>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2954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4"/>
                    <a:stretch>
                      <a:fillRect/>
                    </a:stretch>
                  </pic:blipFill>
                  <pic:spPr bwMode="auto">
                    <a:xfrm>
                      <a:off x="0" y="0"/>
                      <a:ext cx="1295400" cy="419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Kenneth J. Rollins </w:t>
      </w:r>
    </w:p>
    <w:p>
      <w:pPr>
        <w:pStyle w:val="TextBody"/>
        <w:bidi w:val="0"/>
        <w:spacing w:before="0" w:after="0"/>
        <w:jc w:val="left"/>
        <w:rPr>
          <w:rFonts w:ascii="Times New Roman" w:hAnsi="Times New Roman"/>
          <w:sz w:val="20"/>
        </w:rPr>
      </w:pPr>
      <w:r>
        <w:rPr>
          <w:rFonts w:ascii="Times New Roman" w:hAnsi="Times New Roman"/>
          <w:sz w:val="20"/>
        </w:rPr>
        <w:t xml:space="preserve">+1 (858) 550 6136 </w:t>
      </w:r>
    </w:p>
    <w:p>
      <w:pPr>
        <w:pStyle w:val="TextBody"/>
        <w:bidi w:val="0"/>
        <w:spacing w:before="0" w:after="0"/>
        <w:jc w:val="left"/>
        <w:rPr>
          <w:rFonts w:ascii="Times New Roman" w:hAnsi="Times New Roman"/>
          <w:sz w:val="20"/>
        </w:rPr>
      </w:pPr>
      <w:r>
        <w:rPr>
          <w:rFonts w:ascii="Times New Roman" w:hAnsi="Times New Roman"/>
          <w:sz w:val="20"/>
        </w:rPr>
        <w:t xml:space="preserve">krollins@cooley.com </w:t>
      </w:r>
    </w:p>
    <w:p>
      <w:pPr>
        <w:pStyle w:val="TextBody"/>
        <w:bidi w:val="0"/>
        <w:spacing w:before="240" w:after="0"/>
        <w:jc w:val="left"/>
        <w:rPr>
          <w:rFonts w:ascii="Times New Roman" w:hAnsi="Times New Roman"/>
          <w:sz w:val="20"/>
        </w:rPr>
      </w:pPr>
      <w:r>
        <w:rPr>
          <w:rFonts w:ascii="Times New Roman" w:hAnsi="Times New Roman"/>
          <w:sz w:val="20"/>
        </w:rPr>
        <w:t xml:space="preserve">August 10, 2026 </w:t>
      </w:r>
    </w:p>
    <w:p>
      <w:pPr>
        <w:pStyle w:val="TextBody"/>
        <w:bidi w:val="0"/>
        <w:spacing w:before="240" w:after="0"/>
        <w:jc w:val="left"/>
        <w:rPr>
          <w:rFonts w:ascii="Times New Roman" w:hAnsi="Times New Roman"/>
          <w:sz w:val="20"/>
        </w:rPr>
      </w:pPr>
      <w:r>
        <w:rPr>
          <w:rFonts w:ascii="Times New Roman" w:hAnsi="Times New Roman"/>
          <w:sz w:val="20"/>
        </w:rPr>
        <w:t xml:space="preserve">BlossomHill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10255 Science Center Drive, Suite 200 </w:t>
      </w:r>
    </w:p>
    <w:p>
      <w:pPr>
        <w:pStyle w:val="TextBody"/>
        <w:bidi w:val="0"/>
        <w:spacing w:before="0" w:after="0"/>
        <w:jc w:val="left"/>
        <w:rPr>
          <w:rFonts w:ascii="Times New Roman" w:hAnsi="Times New Roman"/>
          <w:sz w:val="20"/>
        </w:rPr>
      </w:pPr>
      <w:r>
        <w:rPr>
          <w:rFonts w:ascii="Times New Roman" w:hAnsi="Times New Roman"/>
          <w:sz w:val="20"/>
        </w:rPr>
        <w:t xml:space="preserve">San Diego, CA 92121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We have acted as counsel to BlossomHill Therapeutics, Inc., a Delaware corporation (the “</w:t>
      </w:r>
      <w:r>
        <w:rPr>
          <w:rFonts w:ascii="Times New Roman" w:hAnsi="Times New Roman"/>
          <w:b/>
          <w:i/>
          <w:sz w:val="20"/>
        </w:rPr>
        <w:t>Company</w:t>
      </w:r>
      <w:r>
        <w:rPr>
          <w:rFonts w:ascii="Times New Roman" w:hAnsi="Times New Roman"/>
          <w:sz w:val="20"/>
        </w:rPr>
        <w:t>”), in connection with the filing of a Registration Statement on Form S-8 (the “</w:t>
      </w:r>
      <w:r>
        <w:rPr>
          <w:rFonts w:ascii="Times New Roman" w:hAnsi="Times New Roman"/>
          <w:b/>
          <w:i/>
          <w:sz w:val="20"/>
        </w:rPr>
        <w:t>Registration Statement</w:t>
      </w:r>
      <w:r>
        <w:rPr>
          <w:rFonts w:ascii="Times New Roman" w:hAnsi="Times New Roman"/>
          <w:sz w:val="20"/>
        </w:rPr>
        <w:t>”) with the Securities and Exchange Commission (the “</w:t>
      </w:r>
      <w:r>
        <w:rPr>
          <w:rFonts w:ascii="Times New Roman" w:hAnsi="Times New Roman"/>
          <w:b/>
          <w:i/>
          <w:sz w:val="20"/>
        </w:rPr>
        <w:t>Commission</w:t>
      </w:r>
      <w:r>
        <w:rPr>
          <w:rFonts w:ascii="Times New Roman" w:hAnsi="Times New Roman"/>
          <w:sz w:val="20"/>
        </w:rPr>
        <w:t>”) covering the offering by the Company of up to 5,583,057 shares (the “</w:t>
      </w:r>
      <w:r>
        <w:rPr>
          <w:rFonts w:ascii="Times New Roman" w:hAnsi="Times New Roman"/>
          <w:b/>
          <w:i/>
          <w:sz w:val="20"/>
        </w:rPr>
        <w:t>Shares</w:t>
      </w:r>
      <w:r>
        <w:rPr>
          <w:rFonts w:ascii="Times New Roman" w:hAnsi="Times New Roman"/>
          <w:sz w:val="20"/>
        </w:rPr>
        <w:t>”) of its common stock, par value $0.0001 per share (“</w:t>
      </w:r>
      <w:r>
        <w:rPr>
          <w:rFonts w:ascii="Times New Roman" w:hAnsi="Times New Roman"/>
          <w:b/>
          <w:i/>
          <w:sz w:val="20"/>
        </w:rPr>
        <w:t>Common Stock</w:t>
      </w:r>
      <w:r>
        <w:rPr>
          <w:rFonts w:ascii="Times New Roman" w:hAnsi="Times New Roman"/>
          <w:sz w:val="20"/>
        </w:rPr>
        <w:t>”), consisting of (a) 1,102,418 shares of Common Stock issuable pursuant to the Company’s 2020 Equity Incentive Plan (the “</w:t>
      </w:r>
      <w:r>
        <w:rPr>
          <w:rFonts w:ascii="Times New Roman" w:hAnsi="Times New Roman"/>
          <w:b/>
          <w:i/>
          <w:sz w:val="20"/>
        </w:rPr>
        <w:t>2020 Plan</w:t>
      </w:r>
      <w:r>
        <w:rPr>
          <w:rFonts w:ascii="Times New Roman" w:hAnsi="Times New Roman"/>
          <w:sz w:val="20"/>
        </w:rPr>
        <w:t>”), (b) 4,178,110 shares of Common Stock issuable pursuant to the Company’s 2026 Equity Incentive Plan (the “</w:t>
      </w:r>
      <w:r>
        <w:rPr>
          <w:rFonts w:ascii="Times New Roman" w:hAnsi="Times New Roman"/>
          <w:b/>
          <w:i/>
          <w:sz w:val="20"/>
        </w:rPr>
        <w:t>2026 Plan</w:t>
      </w:r>
      <w:r>
        <w:rPr>
          <w:rFonts w:ascii="Times New Roman" w:hAnsi="Times New Roman"/>
          <w:sz w:val="20"/>
        </w:rPr>
        <w:t>”) and (c) 302,529 shares of Common Stock issuable pursuant to the Company’s 2026 Employee Stock Purchase Plan (together with the 2020 Plan and the 2026 Plan, the “</w:t>
      </w:r>
      <w:r>
        <w:rPr>
          <w:rFonts w:ascii="Times New Roman" w:hAnsi="Times New Roman"/>
          <w:b/>
          <w:i/>
          <w:sz w:val="20"/>
        </w:rPr>
        <w:t>Plans</w:t>
      </w:r>
      <w:r>
        <w:rPr>
          <w:rFonts w:ascii="Times New Roman" w:hAnsi="Times New Roman"/>
          <w:sz w:val="20"/>
        </w:rPr>
        <w:t>”</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examined and relied upon (a) the Registration Statement and the related prospectuses, (b) the Company’s certificate of incorporation and bylaws, each as currently in effect, (c) the Plans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foregoing, and in reliance thereon, we are of the opinion that the Shares, when sold and issued in accordance with the Plans, the Registration Statement and the related prospectuses, will be validly issued, fully paid, and nonassessable (except as to shares issued pursuant to deferred payment arrangements, which will be fully paid and nonassessable when such deferred payments are made in full).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10265 Science Center Drive, San Diego, CA 92121-1117 </w:t>
      </w:r>
    </w:p>
    <w:p>
      <w:pPr>
        <w:pStyle w:val="TextBody"/>
        <w:bidi w:val="0"/>
        <w:spacing w:before="0" w:after="0"/>
        <w:jc w:val="center"/>
        <w:rPr>
          <w:rFonts w:ascii="Times New Roman" w:hAnsi="Times New Roman"/>
          <w:sz w:val="20"/>
        </w:rPr>
      </w:pPr>
      <w:r>
        <w:rPr>
          <w:rFonts w:ascii="Times New Roman" w:hAnsi="Times New Roman"/>
          <w:sz w:val="20"/>
        </w:rPr>
        <w:t xml:space="preserve">t: +1 (858) 550-6000 f: +1 (858) 550-6420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95400"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1295400" cy="41910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BlossomHill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80"/>
        <w:gridCol w:w="61"/>
        <w:gridCol w:w="3641"/>
      </w:tblGrid>
      <w:tr>
        <w:trPr/>
        <w:tc>
          <w:tcPr>
            <w:tcW w:w="38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Sincerely,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Cooley LLP</w:t>
            </w:r>
          </w:p>
        </w:tc>
      </w:tr>
      <w:tr>
        <w:trPr>
          <w:trHeight w:val="240" w:hRule="atLeast"/>
        </w:trPr>
        <w:tc>
          <w:tcPr>
            <w:tcW w:w="380" w:type="dxa"/>
            <w:tcBorders/>
            <w:vAlign w:val="center"/>
          </w:tcPr>
          <w:p>
            <w:pPr>
              <w:pStyle w:val="TableContents"/>
              <w:bidi w:val="0"/>
              <w:spacing w:before="0" w:after="283"/>
              <w:jc w:val="left"/>
              <w:rPr>
                <w:sz w:val="4"/>
                <w:szCs w:val="4"/>
              </w:rPr>
            </w:pPr>
            <w:r>
              <w:rPr>
                <w:sz w:val="4"/>
                <w:szCs w:val="4"/>
              </w:rPr>
            </w:r>
          </w:p>
        </w:tc>
        <w:tc>
          <w:tcPr>
            <w:tcW w:w="3702"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Kenneth J. Rollins</w:t>
            </w:r>
          </w:p>
        </w:tc>
      </w:tr>
      <w:tr>
        <w:trPr/>
        <w:tc>
          <w:tcPr>
            <w:tcW w:w="380"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1" w:type="dxa"/>
            <w:tcBorders/>
          </w:tcPr>
          <w:p>
            <w:pPr>
              <w:pStyle w:val="TableContents"/>
              <w:bidi w:val="0"/>
              <w:spacing w:before="0" w:after="283"/>
              <w:jc w:val="left"/>
              <w:rPr/>
            </w:pPr>
            <w:r>
              <w:rPr/>
              <w:t>Kenneth J. Rollins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10265 Science Center Dr., San Diego, CA 92121 </w:t>
      </w:r>
    </w:p>
    <w:p>
      <w:pPr>
        <w:pStyle w:val="TextBody"/>
        <w:bidi w:val="0"/>
        <w:spacing w:before="0" w:after="0"/>
        <w:jc w:val="center"/>
        <w:rPr>
          <w:rFonts w:ascii="Times New Roman" w:hAnsi="Times New Roman"/>
          <w:sz w:val="20"/>
        </w:rPr>
      </w:pPr>
      <w:r>
        <w:rPr>
          <w:rFonts w:ascii="Times New Roman" w:hAnsi="Times New Roman"/>
          <w:sz w:val="20"/>
        </w:rPr>
        <w:t xml:space="preserve">t: +1 (858) 550-6000 f: +1 (858) 550-6420 cooley.com </w:t>
      </w:r>
    </w:p>
    <w:p>
      <w:pPr>
        <w:pStyle w:val="TextBody"/>
        <w:bidi w:val="0"/>
        <w:spacing w:before="0" w:after="0"/>
        <w:jc w:val="right"/>
        <w:rPr>
          <w:rFonts w:ascii="Times New Roman" w:hAnsi="Times New Roman"/>
          <w:b/>
          <w:sz w:val="20"/>
        </w:rPr>
      </w:pPr>
      <w:bookmarkStart w:id="5" w:name="d146110dex231.htm"/>
      <w:bookmarkStart w:id="6" w:name="ksd146110dex231"/>
      <w:bookmarkEnd w:id="5"/>
      <w:bookmarkEnd w:id="6"/>
      <w:r>
        <w:rPr>
          <w:rFonts w:ascii="Times New Roman" w:hAnsi="Times New Roman"/>
          <w:b/>
          <w:sz w:val="20"/>
        </w:rPr>
        <w:t xml:space="preserve">Exhibit 23.1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S-8 of our report dated April 24, 2026 (August 3, 2026 as to the effects of the reverse stock split described in Note 10), relating to the financial statements of BlossomHill Therapeutics, Inc., appearing in Registration Statement No. 333-297512 on Form S-1 of BlossomHill Therapeutics, Inc. </w:t>
      </w:r>
    </w:p>
    <w:p>
      <w:pPr>
        <w:pStyle w:val="TextBody"/>
        <w:bidi w:val="0"/>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240" w:after="0"/>
        <w:jc w:val="left"/>
        <w:rPr>
          <w:rFonts w:ascii="Times New Roman" w:hAnsi="Times New Roman"/>
          <w:sz w:val="20"/>
        </w:rPr>
      </w:pPr>
      <w:r>
        <w:rPr>
          <w:rFonts w:ascii="Times New Roman" w:hAnsi="Times New Roman"/>
          <w:sz w:val="20"/>
        </w:rPr>
        <w:t xml:space="preserve">San Diego, California </w:t>
      </w:r>
    </w:p>
    <w:p>
      <w:pPr>
        <w:pStyle w:val="TextBody"/>
        <w:bidi w:val="0"/>
        <w:spacing w:before="240" w:after="0"/>
        <w:jc w:val="left"/>
        <w:rPr>
          <w:rFonts w:ascii="Times New Roman" w:hAnsi="Times New Roman"/>
          <w:sz w:val="20"/>
        </w:rPr>
      </w:pPr>
      <w:r>
        <w:rPr>
          <w:rFonts w:ascii="Times New Roman" w:hAnsi="Times New Roman"/>
          <w:sz w:val="20"/>
        </w:rPr>
        <w:t xml:space="preserve">August 10, 2026 </w:t>
      </w:r>
    </w:p>
    <w:p>
      <w:pPr>
        <w:pStyle w:val="Normal"/>
        <w:bidi w:val="0"/>
        <w:spacing w:before="0" w:after="0"/>
        <w:jc w:val="left"/>
        <w:rPr>
          <w:sz w:val="4"/>
          <w:szCs w:val="4"/>
        </w:rPr>
      </w:pPr>
      <w:r>
        <w:rPr>
          <w:sz w:val="4"/>
          <w:szCs w:val="4"/>
        </w:rPr>
      </w:r>
      <w:bookmarkStart w:id="7" w:name="d146110dexfilingfees.htm"/>
      <w:bookmarkStart w:id="8" w:name="ksd146110dexfilingfees"/>
      <w:bookmarkStart w:id="9" w:name="d146110dexfilingfees.htm"/>
      <w:bookmarkStart w:id="10" w:name="ksd146110dexfilingfees"/>
      <w:bookmarkEnd w:id="9"/>
      <w:bookmarkEnd w:id="10"/>
      <w:r>
        <w:br w:type="page"/>
      </w:r>
    </w:p>
    <w:tbl>
      <w:tblPr>
        <w:tblW w:w="3581" w:type="dxa"/>
        <w:jc w:val="left"/>
        <w:tblInd w:w="0" w:type="dxa"/>
        <w:tblLayout w:type="fixed"/>
        <w:tblCellMar>
          <w:top w:w="28" w:type="dxa"/>
          <w:left w:w="28" w:type="dxa"/>
          <w:bottom w:w="28" w:type="dxa"/>
          <w:right w:w="28" w:type="dxa"/>
        </w:tblCellMar>
      </w:tblPr>
      <w:tblGrid>
        <w:gridCol w:w="3427"/>
        <w:gridCol w:w="154"/>
      </w:tblGrid>
      <w:tr>
        <w:trPr/>
        <w:tc>
          <w:tcPr>
            <w:tcW w:w="3581"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7"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7" w:type="dxa"/>
            <w:tcBorders/>
            <w:vAlign w:val="center"/>
          </w:tcPr>
          <w:p>
            <w:pPr>
              <w:pStyle w:val="TableContents"/>
              <w:bidi w:val="0"/>
              <w:spacing w:before="0" w:after="283"/>
              <w:jc w:val="left"/>
              <w:rPr>
                <w:b/>
              </w:rPr>
            </w:pPr>
            <w:r>
              <w:rPr>
                <w:b/>
              </w:rPr>
              <w:t xml:space="preserve">BlossomHill Therapeutics,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46"/>
        <w:gridCol w:w="1207"/>
        <w:gridCol w:w="1276"/>
        <w:gridCol w:w="1186"/>
        <w:gridCol w:w="1157"/>
        <w:gridCol w:w="1667"/>
        <w:gridCol w:w="1126"/>
        <w:gridCol w:w="1399"/>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07"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7"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7"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99"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207" w:type="dxa"/>
            <w:tcBorders/>
            <w:shd w:fill="E7E7E2" w:val="clear"/>
            <w:vAlign w:val="center"/>
          </w:tcPr>
          <w:p>
            <w:pPr>
              <w:pStyle w:val="TableContents"/>
              <w:bidi w:val="0"/>
              <w:spacing w:before="0" w:after="283"/>
              <w:jc w:val="left"/>
              <w:rPr/>
            </w:pPr>
            <w:r>
              <w:rPr/>
              <w:t xml:space="preserve">Common Stock, $0.0001 par value per share, issuable upon exercise of outstanding options granted pursuant to the 2020 Equity Incentive Plan, as amended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1,102,418 </w:t>
            </w:r>
          </w:p>
        </w:tc>
        <w:tc>
          <w:tcPr>
            <w:tcW w:w="1157" w:type="dxa"/>
            <w:tcBorders/>
            <w:shd w:fill="E7E7E2" w:val="clear"/>
            <w:vAlign w:val="center"/>
          </w:tcPr>
          <w:p>
            <w:pPr>
              <w:pStyle w:val="TableContents"/>
              <w:bidi w:val="0"/>
              <w:spacing w:before="0" w:after="283"/>
              <w:jc w:val="right"/>
              <w:rPr/>
            </w:pPr>
            <w:r>
              <w:rPr/>
              <w:t xml:space="preserve">$ 7.21 </w:t>
            </w:r>
          </w:p>
        </w:tc>
        <w:tc>
          <w:tcPr>
            <w:tcW w:w="1667" w:type="dxa"/>
            <w:tcBorders/>
            <w:shd w:fill="E7E7E2" w:val="clear"/>
            <w:vAlign w:val="center"/>
          </w:tcPr>
          <w:p>
            <w:pPr>
              <w:pStyle w:val="TableContents"/>
              <w:bidi w:val="0"/>
              <w:spacing w:before="0" w:after="283"/>
              <w:jc w:val="right"/>
              <w:rPr/>
            </w:pPr>
            <w:r>
              <w:rPr/>
              <w:t xml:space="preserve">$ 7,948,433.78 </w:t>
            </w:r>
          </w:p>
        </w:tc>
        <w:tc>
          <w:tcPr>
            <w:tcW w:w="1126" w:type="dxa"/>
            <w:tcBorders/>
            <w:shd w:fill="E7E7E2" w:val="clear"/>
            <w:vAlign w:val="center"/>
          </w:tcPr>
          <w:p>
            <w:pPr>
              <w:pStyle w:val="TableContents"/>
              <w:bidi w:val="0"/>
              <w:spacing w:before="0" w:after="283"/>
              <w:jc w:val="right"/>
              <w:rPr/>
            </w:pPr>
            <w:r>
              <w:rPr/>
              <w:t xml:space="preserve">0.0001381 </w:t>
            </w:r>
          </w:p>
        </w:tc>
        <w:tc>
          <w:tcPr>
            <w:tcW w:w="1399" w:type="dxa"/>
            <w:tcBorders/>
            <w:shd w:fill="E7E7E2" w:val="clear"/>
            <w:vAlign w:val="center"/>
          </w:tcPr>
          <w:p>
            <w:pPr>
              <w:pStyle w:val="TableContents"/>
              <w:bidi w:val="0"/>
              <w:spacing w:before="0" w:after="283"/>
              <w:jc w:val="right"/>
              <w:rPr/>
            </w:pPr>
            <w:r>
              <w:rPr/>
              <w:t xml:space="preserve">$ 1,097.68 </w:t>
            </w:r>
          </w:p>
        </w:tc>
      </w:tr>
      <w:tr>
        <w:trPr/>
        <w:tc>
          <w:tcPr>
            <w:tcW w:w="241"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207" w:type="dxa"/>
            <w:tcBorders/>
            <w:shd w:fill="E7E7E2" w:val="clear"/>
            <w:vAlign w:val="center"/>
          </w:tcPr>
          <w:p>
            <w:pPr>
              <w:pStyle w:val="TableContents"/>
              <w:bidi w:val="0"/>
              <w:spacing w:before="0" w:after="283"/>
              <w:jc w:val="left"/>
              <w:rPr/>
            </w:pPr>
            <w:r>
              <w:rPr/>
              <w:t xml:space="preserve">Common Stock, $0.0001 par value per share, reserved for issuance pursuant to the 2026 Equity Incentive Plan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2,633,511 </w:t>
            </w:r>
          </w:p>
        </w:tc>
        <w:tc>
          <w:tcPr>
            <w:tcW w:w="1157" w:type="dxa"/>
            <w:tcBorders/>
            <w:shd w:fill="E7E7E2" w:val="clear"/>
            <w:vAlign w:val="center"/>
          </w:tcPr>
          <w:p>
            <w:pPr>
              <w:pStyle w:val="TableContents"/>
              <w:bidi w:val="0"/>
              <w:spacing w:before="0" w:after="283"/>
              <w:jc w:val="right"/>
              <w:rPr/>
            </w:pPr>
            <w:r>
              <w:rPr/>
              <w:t xml:space="preserve">$ 16.00 </w:t>
            </w:r>
          </w:p>
        </w:tc>
        <w:tc>
          <w:tcPr>
            <w:tcW w:w="1667" w:type="dxa"/>
            <w:tcBorders/>
            <w:shd w:fill="E7E7E2" w:val="clear"/>
            <w:vAlign w:val="center"/>
          </w:tcPr>
          <w:p>
            <w:pPr>
              <w:pStyle w:val="TableContents"/>
              <w:bidi w:val="0"/>
              <w:spacing w:before="0" w:after="283"/>
              <w:jc w:val="right"/>
              <w:rPr/>
            </w:pPr>
            <w:r>
              <w:rPr/>
              <w:t xml:space="preserve">$ 42,136,176.00 </w:t>
            </w:r>
          </w:p>
        </w:tc>
        <w:tc>
          <w:tcPr>
            <w:tcW w:w="1126" w:type="dxa"/>
            <w:tcBorders/>
            <w:shd w:fill="E7E7E2" w:val="clear"/>
            <w:vAlign w:val="center"/>
          </w:tcPr>
          <w:p>
            <w:pPr>
              <w:pStyle w:val="TableContents"/>
              <w:bidi w:val="0"/>
              <w:spacing w:before="0" w:after="283"/>
              <w:jc w:val="right"/>
              <w:rPr/>
            </w:pPr>
            <w:r>
              <w:rPr/>
              <w:t xml:space="preserve">0.0001381 </w:t>
            </w:r>
          </w:p>
        </w:tc>
        <w:tc>
          <w:tcPr>
            <w:tcW w:w="1399" w:type="dxa"/>
            <w:tcBorders/>
            <w:shd w:fill="E7E7E2" w:val="clear"/>
            <w:vAlign w:val="center"/>
          </w:tcPr>
          <w:p>
            <w:pPr>
              <w:pStyle w:val="TableContents"/>
              <w:bidi w:val="0"/>
              <w:spacing w:before="0" w:after="283"/>
              <w:jc w:val="right"/>
              <w:rPr/>
            </w:pPr>
            <w:r>
              <w:rPr/>
              <w:t xml:space="preserve">$ 5,819.01 </w:t>
            </w:r>
          </w:p>
        </w:tc>
      </w:tr>
      <w:tr>
        <w:trPr/>
        <w:tc>
          <w:tcPr>
            <w:tcW w:w="241"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Equity </w:t>
            </w:r>
          </w:p>
        </w:tc>
        <w:tc>
          <w:tcPr>
            <w:tcW w:w="1207" w:type="dxa"/>
            <w:tcBorders/>
            <w:shd w:fill="E7E7E2" w:val="clear"/>
            <w:vAlign w:val="center"/>
          </w:tcPr>
          <w:p>
            <w:pPr>
              <w:pStyle w:val="TableContents"/>
              <w:bidi w:val="0"/>
              <w:spacing w:before="0" w:after="283"/>
              <w:jc w:val="left"/>
              <w:rPr/>
            </w:pPr>
            <w:r>
              <w:rPr/>
              <w:t xml:space="preserve">Common Stock, $0.0001 par value per share, reserved for issuance pursuant to the 2026 Employee Stock Purchase Plan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302,529 </w:t>
            </w:r>
          </w:p>
        </w:tc>
        <w:tc>
          <w:tcPr>
            <w:tcW w:w="1157" w:type="dxa"/>
            <w:tcBorders/>
            <w:shd w:fill="E7E7E2" w:val="clear"/>
            <w:vAlign w:val="center"/>
          </w:tcPr>
          <w:p>
            <w:pPr>
              <w:pStyle w:val="TableContents"/>
              <w:bidi w:val="0"/>
              <w:spacing w:before="0" w:after="283"/>
              <w:jc w:val="right"/>
              <w:rPr/>
            </w:pPr>
            <w:r>
              <w:rPr/>
              <w:t xml:space="preserve">$ 13.60 </w:t>
            </w:r>
          </w:p>
        </w:tc>
        <w:tc>
          <w:tcPr>
            <w:tcW w:w="1667" w:type="dxa"/>
            <w:tcBorders/>
            <w:shd w:fill="E7E7E2" w:val="clear"/>
            <w:vAlign w:val="center"/>
          </w:tcPr>
          <w:p>
            <w:pPr>
              <w:pStyle w:val="TableContents"/>
              <w:bidi w:val="0"/>
              <w:spacing w:before="0" w:after="283"/>
              <w:jc w:val="right"/>
              <w:rPr/>
            </w:pPr>
            <w:r>
              <w:rPr/>
              <w:t xml:space="preserve">$ 4,114,394.40 </w:t>
            </w:r>
          </w:p>
        </w:tc>
        <w:tc>
          <w:tcPr>
            <w:tcW w:w="1126" w:type="dxa"/>
            <w:tcBorders/>
            <w:shd w:fill="E7E7E2" w:val="clear"/>
            <w:vAlign w:val="center"/>
          </w:tcPr>
          <w:p>
            <w:pPr>
              <w:pStyle w:val="TableContents"/>
              <w:bidi w:val="0"/>
              <w:spacing w:before="0" w:after="283"/>
              <w:jc w:val="right"/>
              <w:rPr/>
            </w:pPr>
            <w:r>
              <w:rPr/>
              <w:t xml:space="preserve">0.0001381 </w:t>
            </w:r>
          </w:p>
        </w:tc>
        <w:tc>
          <w:tcPr>
            <w:tcW w:w="1399" w:type="dxa"/>
            <w:tcBorders/>
            <w:shd w:fill="E7E7E2" w:val="clear"/>
            <w:vAlign w:val="center"/>
          </w:tcPr>
          <w:p>
            <w:pPr>
              <w:pStyle w:val="TableContents"/>
              <w:bidi w:val="0"/>
              <w:spacing w:before="0" w:after="283"/>
              <w:jc w:val="right"/>
              <w:rPr/>
            </w:pPr>
            <w:r>
              <w:rPr/>
              <w:t xml:space="preserve">$ 568.20 </w:t>
            </w:r>
          </w:p>
        </w:tc>
      </w:tr>
      <w:tr>
        <w:trPr/>
        <w:tc>
          <w:tcPr>
            <w:tcW w:w="241"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Equity </w:t>
            </w:r>
          </w:p>
        </w:tc>
        <w:tc>
          <w:tcPr>
            <w:tcW w:w="1207" w:type="dxa"/>
            <w:tcBorders/>
            <w:shd w:fill="E7E7E2" w:val="clear"/>
            <w:vAlign w:val="center"/>
          </w:tcPr>
          <w:p>
            <w:pPr>
              <w:pStyle w:val="TableContents"/>
              <w:bidi w:val="0"/>
              <w:spacing w:before="0" w:after="283"/>
              <w:jc w:val="left"/>
              <w:rPr/>
            </w:pPr>
            <w:r>
              <w:rPr/>
              <w:t xml:space="preserve">Common Stock, $0.0001 par value per share, issuable upon exercise of outstanding options granted pursuant to the 2026 Equity Incentive Plan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1,544,599 </w:t>
            </w:r>
          </w:p>
        </w:tc>
        <w:tc>
          <w:tcPr>
            <w:tcW w:w="1157" w:type="dxa"/>
            <w:tcBorders/>
            <w:shd w:fill="E7E7E2" w:val="clear"/>
            <w:vAlign w:val="center"/>
          </w:tcPr>
          <w:p>
            <w:pPr>
              <w:pStyle w:val="TableContents"/>
              <w:bidi w:val="0"/>
              <w:spacing w:before="0" w:after="283"/>
              <w:jc w:val="right"/>
              <w:rPr/>
            </w:pPr>
            <w:r>
              <w:rPr/>
              <w:t xml:space="preserve">$ 16.00 </w:t>
            </w:r>
          </w:p>
        </w:tc>
        <w:tc>
          <w:tcPr>
            <w:tcW w:w="1667" w:type="dxa"/>
            <w:tcBorders/>
            <w:shd w:fill="E7E7E2" w:val="clear"/>
            <w:vAlign w:val="center"/>
          </w:tcPr>
          <w:p>
            <w:pPr>
              <w:pStyle w:val="TableContents"/>
              <w:bidi w:val="0"/>
              <w:spacing w:before="0" w:after="283"/>
              <w:jc w:val="right"/>
              <w:rPr/>
            </w:pPr>
            <w:r>
              <w:rPr/>
              <w:t xml:space="preserve">$ 24,713,584.00 </w:t>
            </w:r>
          </w:p>
        </w:tc>
        <w:tc>
          <w:tcPr>
            <w:tcW w:w="1126" w:type="dxa"/>
            <w:tcBorders/>
            <w:shd w:fill="E7E7E2" w:val="clear"/>
            <w:vAlign w:val="center"/>
          </w:tcPr>
          <w:p>
            <w:pPr>
              <w:pStyle w:val="TableContents"/>
              <w:bidi w:val="0"/>
              <w:spacing w:before="0" w:after="283"/>
              <w:jc w:val="right"/>
              <w:rPr/>
            </w:pPr>
            <w:r>
              <w:rPr/>
              <w:t xml:space="preserve">0.0001381 </w:t>
            </w:r>
          </w:p>
        </w:tc>
        <w:tc>
          <w:tcPr>
            <w:tcW w:w="1399" w:type="dxa"/>
            <w:tcBorders/>
            <w:shd w:fill="E7E7E2" w:val="clear"/>
            <w:vAlign w:val="center"/>
          </w:tcPr>
          <w:p>
            <w:pPr>
              <w:pStyle w:val="TableContents"/>
              <w:bidi w:val="0"/>
              <w:spacing w:before="0" w:after="283"/>
              <w:jc w:val="right"/>
              <w:rPr/>
            </w:pPr>
            <w:r>
              <w:rPr/>
              <w:t xml:space="preserve">$ 3,412.95 </w:t>
            </w:r>
          </w:p>
        </w:tc>
      </w:tr>
      <w:tr>
        <w:trPr/>
        <w:tc>
          <w:tcPr>
            <w:tcW w:w="4856" w:type="dxa"/>
            <w:gridSpan w:val="5"/>
            <w:tcBorders/>
            <w:vAlign w:val="center"/>
          </w:tcPr>
          <w:p>
            <w:pPr>
              <w:pStyle w:val="TableContents"/>
              <w:bidi w:val="0"/>
              <w:spacing w:before="0" w:after="0"/>
              <w:ind w:left="0" w:right="0" w:hanging="0"/>
              <w:jc w:val="right"/>
              <w:rPr/>
            </w:pPr>
            <w:r>
              <w:rPr/>
              <w:t>Total Offering Amounts:</w:t>
            </w:r>
          </w:p>
        </w:tc>
        <w:tc>
          <w:tcPr>
            <w:tcW w:w="1157"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0"/>
              <w:ind w:left="0" w:right="0" w:hanging="0"/>
              <w:jc w:val="right"/>
              <w:rPr/>
            </w:pPr>
            <w:bookmarkStart w:id="11" w:name="MaxAggtOfferingPrice"/>
            <w:bookmarkEnd w:id="11"/>
            <w:r>
              <w:rPr/>
              <w:t xml:space="preserve">$ 78,912,588.18 </w:t>
            </w:r>
          </w:p>
        </w:tc>
        <w:tc>
          <w:tcPr>
            <w:tcW w:w="1126" w:type="dxa"/>
            <w:tcBorders/>
            <w:vAlign w:val="center"/>
          </w:tcPr>
          <w:p>
            <w:pPr>
              <w:pStyle w:val="TableContents"/>
              <w:bidi w:val="0"/>
              <w:spacing w:before="0" w:after="283"/>
              <w:jc w:val="left"/>
              <w:rPr>
                <w:sz w:val="4"/>
                <w:szCs w:val="4"/>
              </w:rPr>
            </w:pPr>
            <w:r>
              <w:rPr>
                <w:sz w:val="4"/>
                <w:szCs w:val="4"/>
              </w:rPr>
            </w:r>
          </w:p>
        </w:tc>
        <w:tc>
          <w:tcPr>
            <w:tcW w:w="1399"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$ 10,897.84 </w:t>
            </w:r>
          </w:p>
        </w:tc>
      </w:tr>
      <w:tr>
        <w:trPr/>
        <w:tc>
          <w:tcPr>
            <w:tcW w:w="4856" w:type="dxa"/>
            <w:gridSpan w:val="5"/>
            <w:tcBorders/>
            <w:vAlign w:val="center"/>
          </w:tcPr>
          <w:p>
            <w:pPr>
              <w:pStyle w:val="TableContents"/>
              <w:bidi w:val="0"/>
              <w:spacing w:before="0" w:after="0"/>
              <w:ind w:left="0" w:right="0" w:hanging="0"/>
              <w:jc w:val="right"/>
              <w:rPr/>
            </w:pPr>
            <w:r>
              <w:rPr/>
              <w:t xml:space="preserve">Total Fee Offsets: </w:t>
            </w:r>
          </w:p>
        </w:tc>
        <w:tc>
          <w:tcPr>
            <w:tcW w:w="1157"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856" w:type="dxa"/>
            <w:gridSpan w:val="5"/>
            <w:tcBorders/>
            <w:vAlign w:val="center"/>
          </w:tcPr>
          <w:p>
            <w:pPr>
              <w:pStyle w:val="TableContents"/>
              <w:bidi w:val="0"/>
              <w:spacing w:before="0" w:after="0"/>
              <w:ind w:left="0" w:right="0" w:hanging="0"/>
              <w:jc w:val="right"/>
              <w:rPr/>
            </w:pPr>
            <w:r>
              <w:rPr/>
              <w:t xml:space="preserve">Net Fee Due: </w:t>
            </w:r>
          </w:p>
        </w:tc>
        <w:tc>
          <w:tcPr>
            <w:tcW w:w="1157"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0"/>
              <w:ind w:left="0" w:right="0" w:hanging="0"/>
              <w:jc w:val="right"/>
              <w:rPr/>
            </w:pPr>
            <w:bookmarkStart w:id="14" w:name="NetFeeAmt"/>
            <w:bookmarkEnd w:id="14"/>
            <w:r>
              <w:rPr/>
              <w:t xml:space="preserve">$ 10,897.84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5"/>
        <w:gridCol w:w="8712"/>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(A) Pursuant to Rule 416(a) under the Securities Act of 1933, as amended (the "Securities Act"), this Registration Statement shall also cover any additional shares of Common Stock ("Common Stock") of BlossomHill Therapeutics, Inc. (the "Registrant") that become issuable under the Registrant's 2020 Equity Incentive Plan, as amended (the "2020 Plan"), the Registrant's 2026 Equity Incentive Plan (the "2026 Plan"), or the Registrant's 2026 Employee Stock Purchase Plan (the "2026 ESPP") by reason of any stock dividend, stock split, recapitalization or other similar transaction. (B) Estimated solely for the purpose of calculating the amount of the registration fee pursuant to Rule 457(h) of the Securities Act. The proposed maximum aggregate offering price per share and proposed maximum aggregate offering price for the 1,102,418 shares of Common Stock reserved for issuance upon the exercise of outstanding stock options granted under the 2020 Plan are calculated using the weighted-average exercise price of $7.21 per share for such stock options. (C) Represents shares of Common Stock reserved for issuance upon the exercise of outstanding stock options granted under the 2020 Plan. No additional stock awards will be granted under the 2020 Plan. The shares of Common Stock reserved for issuance pursuant to such stock options will become available for issuance under the 2026 Plan to the extent any such shares (i) are not issued because such stock award or any portion thereof expires or otherwise terminates without all of the shares covered by such stock award having been issued, (ii) are not issued because such stock award or any portion thereof is settled in cash, (iii) are forfeited back to or repurchased by the Registrant because of the failure to meet a contingency or condition required for the vesting of such shares, (iv) are withheld or reacquired to satisfy the exercise, strike or purchase price, or (v) are withheld or reacquired to satisfy a tax withholding obligation. See footnote 2(B) below. </w:t>
            </w:r>
          </w:p>
        </w:tc>
      </w:tr>
      <w:tr>
        <w:trPr/>
        <w:tc>
          <w:tcPr>
            <w:tcW w:w="1493" w:type="dxa"/>
            <w:gridSpan w:val="2"/>
            <w:tcBorders/>
            <w:vAlign w:val="center"/>
          </w:tcPr>
          <w:p>
            <w:pPr>
              <w:pStyle w:val="HorizontalLine"/>
              <w:pBdr>
                <w:bottom w:val="double" w:sz="2" w:space="0" w:color="808080"/>
              </w:pBdr>
              <w:bidi w:val="0"/>
              <w:spacing w:before="0" w:after="283"/>
              <w:jc w:val="left"/>
              <w:rPr/>
            </w:pPr>
            <w:r>
              <w:rPr/>
            </w:r>
          </w:p>
        </w:tc>
        <w:tc>
          <w:tcPr>
            <w:tcW w:w="8712"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7" w:type="dxa"/>
            <w:gridSpan w:val="2"/>
            <w:tcBorders/>
            <w:vAlign w:val="center"/>
          </w:tcPr>
          <w:p>
            <w:pPr>
              <w:pStyle w:val="TableContents"/>
              <w:bidi w:val="0"/>
              <w:spacing w:before="0" w:after="283"/>
              <w:jc w:val="left"/>
              <w:rPr/>
            </w:pPr>
            <w:r>
              <w:rPr/>
              <w:t xml:space="preserve">(A) Estimated solely for the purpose of calculating the amount of the registration fee pursuant to Rule 457(h) of the Securities Act. The proposed maximum aggregate offering price per share and proposed maximum aggregate offering price are calculated on the basis of $16.00 per share (the "IPO Price"), which is the initial public offering price per share of the Registrant's Common Stock as set forth in the Registrant's registration statement on Form S-1 (File No. 333-297512), as amended (the "S-1 Registration Statement"), that became effective on August 6, 2026. (B) Represents 2,633,511 shares of Common Stock reserved for future grant under the 2026 Plan. The 2026 Plan provides that an additional number of shares will automatically be added annually to the shares authorized for issuance under the 2026 Plan on January 1st of each year, commencing on January 1, 2027 and ending on (and including) January 1, 2036, in an amount equal to 5% of the Share Reserve Increase Stock (as defined in the 2026 Plan) outstanding on December 31 of the preceding year; provided, however, that the Board may act prior to January 1st of a given year to provide that the increase for such year will be a lesser number of shares of Common Stock. This explanation is provided for information purposes only. The issuance of such additional shares is not being registered on this Registration Statement. In addition, to the extent that any stock options outstanding under the 2020 Plan expire, terminate prior to exercise or settlement, are not issued because the award is settled in cash, are forfeited because of the failure to vest, or are reacquired or withheld (or not issued) to satisfy a tax withholding obligation or the purchase or exercise price, the shares of Common Stock reserved for issuance pursuant to such stock options will become available for issuance under the 2026 Plan. See footnote 1(C) above. </w:t>
            </w:r>
          </w:p>
        </w:tc>
      </w:tr>
      <w:tr>
        <w:trPr/>
        <w:tc>
          <w:tcPr>
            <w:tcW w:w="1493" w:type="dxa"/>
            <w:gridSpan w:val="2"/>
            <w:tcBorders/>
            <w:vAlign w:val="center"/>
          </w:tcPr>
          <w:p>
            <w:pPr>
              <w:pStyle w:val="HorizontalLine"/>
              <w:pBdr>
                <w:bottom w:val="double" w:sz="2" w:space="0" w:color="808080"/>
              </w:pBdr>
              <w:bidi w:val="0"/>
              <w:spacing w:before="0" w:after="283"/>
              <w:jc w:val="left"/>
              <w:rPr/>
            </w:pPr>
            <w:r>
              <w:rPr/>
            </w:r>
          </w:p>
        </w:tc>
        <w:tc>
          <w:tcPr>
            <w:tcW w:w="8712"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7" w:type="dxa"/>
            <w:gridSpan w:val="2"/>
            <w:tcBorders/>
            <w:vAlign w:val="center"/>
          </w:tcPr>
          <w:p>
            <w:pPr>
              <w:pStyle w:val="TableContents"/>
              <w:bidi w:val="0"/>
              <w:spacing w:before="0" w:after="283"/>
              <w:jc w:val="left"/>
              <w:rPr/>
            </w:pPr>
            <w:r>
              <w:rPr/>
              <w:t xml:space="preserve">(A) Estimated solely for the purpose of calculating the amount of the registration fee pursuant to Rule 457(h) of the Securities Act. The proposed maximum aggregate offering price per share and proposed maximum aggregate offering price are calculated on the basis of the IPO Price, multiplied by 85%, which is the percentage of the price per share applicable to purchases under the 2026 ESPP. (B) Represents 302,529 shares of Common Stock reserved for future grant under the 2026 ESPP. The 2026 ESPP provides that an additional number of shares of Common Stock will automatically be added annually to the shares authorized for issuance under the 2026 ESPP on January 1st of each year, commencing on January 1, 2027 and ending on (and including) January 1, 2036, in an amount equal to the lesser of (x) 1% of the Share Reserve Increase Stock (as defined in the 2026 ESPP) outstanding on December 31st of the preceding calendar year, and (y) 907,587 shares of Common Stock; provided, however, that the Registrant's board of directors may act prior to January 1st of a given year to provide that there will be no increase in the share reserve for such calendar year or that the increase for such year will be a lesser number of shares of Common Stock than would otherwise occur. This explanation is provided for information purposes only. The issuance of such additional shares is not being registered on this Registration Statement. </w:t>
            </w:r>
          </w:p>
        </w:tc>
      </w:tr>
      <w:tr>
        <w:trPr/>
        <w:tc>
          <w:tcPr>
            <w:tcW w:w="1493" w:type="dxa"/>
            <w:gridSpan w:val="2"/>
            <w:tcBorders/>
            <w:vAlign w:val="center"/>
          </w:tcPr>
          <w:p>
            <w:pPr>
              <w:pStyle w:val="HorizontalLine"/>
              <w:pBdr>
                <w:bottom w:val="double" w:sz="2" w:space="0" w:color="808080"/>
              </w:pBdr>
              <w:bidi w:val="0"/>
              <w:spacing w:before="0" w:after="283"/>
              <w:jc w:val="left"/>
              <w:rPr/>
            </w:pPr>
            <w:r>
              <w:rPr/>
            </w:r>
          </w:p>
        </w:tc>
        <w:tc>
          <w:tcPr>
            <w:tcW w:w="8712"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7" w:type="dxa"/>
            <w:gridSpan w:val="2"/>
            <w:tcBorders/>
            <w:vAlign w:val="center"/>
          </w:tcPr>
          <w:p>
            <w:pPr>
              <w:pStyle w:val="TableContents"/>
              <w:bidi w:val="0"/>
              <w:spacing w:before="0" w:after="283"/>
              <w:jc w:val="left"/>
              <w:rPr/>
            </w:pPr>
            <w:r>
              <w:rPr/>
              <w:t xml:space="preserve">(A) Estimated solely for the purpose of calculating the amount of the registration fee pursuant to Rule 457(h) of the Securities Act. The amount registered represents shares of Common Stock that may be issued upon the exercise of outstanding options granted under the 2026 Plan. The proposed maximum aggregate offering price per share and proposed maximum aggregate offering price for the 1,544,599 shares of Common Stock reserved for issuance upon the exercise of outstanding stock options granted under the 2026 Plan are calculated using the weighted-average exercise price of $16.00 per share for such stock options. </w:t>
            </w:r>
          </w:p>
        </w:tc>
      </w:tr>
      <w:tr>
        <w:trPr/>
        <w:tc>
          <w:tcPr>
            <w:tcW w:w="1493" w:type="dxa"/>
            <w:gridSpan w:val="2"/>
            <w:tcBorders/>
            <w:vAlign w:val="center"/>
          </w:tcPr>
          <w:p>
            <w:pPr>
              <w:pStyle w:val="HorizontalLine"/>
              <w:pBdr>
                <w:bottom w:val="double" w:sz="2" w:space="0" w:color="808080"/>
              </w:pBdr>
              <w:bidi w:val="0"/>
              <w:spacing w:before="0" w:after="283"/>
              <w:jc w:val="left"/>
              <w:rPr/>
            </w:pPr>
            <w:r>
              <w:rPr/>
            </w:r>
          </w:p>
        </w:tc>
        <w:tc>
          <w:tcPr>
            <w:tcW w:w="8712"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0001839970/000119312526340215/d98958d424b4.htm" TargetMode="External"/><Relationship Id="rId3" Type="http://schemas.openxmlformats.org/officeDocument/2006/relationships/hyperlink" Target="http://www.sec.gov/Archives/edgar/data/1839970/000119312526306506/d98958ds1.htm" TargetMode="External"/><Relationship Id="rId4" Type="http://schemas.openxmlformats.org/officeDocument/2006/relationships/hyperlink" Target="http://www.sec.gov/Archives/edgar/data/1839970/000119312526332998/d148192d8a12b.htm" TargetMode="External"/><Relationship Id="rId5" Type="http://schemas.openxmlformats.org/officeDocument/2006/relationships/hyperlink" Target="http://www.sec.gov/Archives/edgar/data/1839970/000119312526342316/d138762dex31.htm" TargetMode="External"/><Relationship Id="rId6" Type="http://schemas.openxmlformats.org/officeDocument/2006/relationships/hyperlink" Target="http://www.sec.gov/Archives/edgar/data/1839970/000119312526306506/d98958dex34.htm" TargetMode="External"/><Relationship Id="rId7" Type="http://schemas.openxmlformats.org/officeDocument/2006/relationships/hyperlink" Target="http://www.sec.gov/Archives/edgar/data/1839970/000119312526329416/d98958dex41.htm" TargetMode="External"/><Relationship Id="rId8" Type="http://schemas.openxmlformats.org/officeDocument/2006/relationships/hyperlink" Target="http://www.sec.gov/Archives/edgar/data/1839970/000119312526306506/d98958dex42.htm" TargetMode="External"/><Relationship Id="rId9" Type="http://schemas.openxmlformats.org/officeDocument/2006/relationships/hyperlink" Target="http://www.sec.gov/Archives/edgar/data/1839970/000119312526329416/d98958dex102.htm" TargetMode="External"/><Relationship Id="rId10" Type="http://schemas.openxmlformats.org/officeDocument/2006/relationships/hyperlink" Target="http://www.sec.gov/Archives/edgar/data/1839970/000119312526306506/d98958dex103.htm" TargetMode="External"/><Relationship Id="rId11" Type="http://schemas.openxmlformats.org/officeDocument/2006/relationships/hyperlink" Target="http://www.sec.gov/Archives/edgar/data/1839970/000119312526329416/d98958dex104.htm" TargetMode="External"/><Relationship Id="rId12" Type="http://schemas.openxmlformats.org/officeDocument/2006/relationships/hyperlink" Target="http://www.sec.gov/Archives/edgar/data/1839970/000119312526306506/d98958dex105.htm" TargetMode="External"/><Relationship Id="rId13" Type="http://schemas.openxmlformats.org/officeDocument/2006/relationships/hyperlink" Target="http://www.sec.gov/Archives/edgar/data/1839970/000119312526306506/d98958dex106.htm" TargetMode="External"/><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4645</Words>
  <Characters>25049</Characters>
  <CharactersWithSpaces>29747</CharactersWithSpaces>
  <Paragraphs>434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