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66261d8k.htm"/>
      <w:bookmarkStart w:id="1" w:name="ksd26626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18,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BlossomHill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40" w:type="dxa"/>
        <w:jc w:val="left"/>
        <w:tblInd w:w="0" w:type="dxa"/>
        <w:tblLayout w:type="fixed"/>
        <w:tblCellMar>
          <w:top w:w="0" w:type="dxa"/>
          <w:left w:w="0" w:type="dxa"/>
          <w:bottom w:w="0" w:type="dxa"/>
          <w:right w:w="0" w:type="dxa"/>
        </w:tblCellMar>
      </w:tblPr>
      <w:tblGrid>
        <w:gridCol w:w="1985"/>
        <w:gridCol w:w="60"/>
        <w:gridCol w:w="1055"/>
        <w:gridCol w:w="60"/>
        <w:gridCol w:w="188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001-43435</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85-1578711</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10255 Science Center Drive</w:t>
      </w:r>
    </w:p>
    <w:p>
      <w:pPr>
        <w:pStyle w:val="TextBody"/>
        <w:bidi w:val="0"/>
        <w:spacing w:before="0" w:after="0"/>
        <w:jc w:val="center"/>
        <w:rPr>
          <w:rFonts w:ascii="Times New Roman" w:hAnsi="Times New Roman"/>
          <w:b/>
          <w:sz w:val="20"/>
        </w:rPr>
      </w:pPr>
      <w:r>
        <w:rPr>
          <w:rFonts w:ascii="Times New Roman" w:hAnsi="Times New Roman"/>
          <w:b/>
          <w:sz w:val="20"/>
        </w:rPr>
        <w:t>Suite 200</w:t>
      </w:r>
    </w:p>
    <w:p>
      <w:pPr>
        <w:pStyle w:val="TextBody"/>
        <w:bidi w:val="0"/>
        <w:spacing w:before="0" w:after="0"/>
        <w:jc w:val="center"/>
        <w:rPr>
          <w:rFonts w:ascii="Times New Roman" w:hAnsi="Times New Roman"/>
          <w:b/>
          <w:sz w:val="20"/>
        </w:rPr>
      </w:pPr>
      <w:r>
        <w:rPr>
          <w:rFonts w:ascii="Times New Roman" w:hAnsi="Times New Roman"/>
          <w:b/>
          <w:sz w:val="20"/>
        </w:rPr>
        <w:t>San Diego, California 92121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(858) 732-3880</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385" w:type="dxa"/>
        <w:jc w:val="left"/>
        <w:tblInd w:w="0" w:type="dxa"/>
        <w:tblLayout w:type="fixed"/>
        <w:tblCellMar>
          <w:top w:w="0" w:type="dxa"/>
          <w:left w:w="0" w:type="dxa"/>
          <w:bottom w:w="0" w:type="dxa"/>
          <w:right w:w="0" w:type="dxa"/>
        </w:tblCellMar>
      </w:tblPr>
      <w:tblGrid>
        <w:gridCol w:w="4265"/>
        <w:gridCol w:w="60"/>
        <w:gridCol w:w="740"/>
        <w:gridCol w:w="60"/>
        <w:gridCol w:w="326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BLSM</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18, 2026, BlossomHill Therapeutics, Inc. (the “Company”) issued a press release announcing its financial results for the quarter ended June 30, 2026. A copy of the press release is attached hereto as Exhibit 99.1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All of the information furnished in this Item 2.02 and Exhibit 99.1 of this Current Report on Form 8-K shall not be deemed “filed” for purposes of Section 18 of the Securities Exchange Act of 1934, as amended (the “Exchange Act”), or otherwise subject to the liabilities of that section, and shall not be incorporated by reference in any filing made by the Company under the Securities Act of 1933, as amended, or the Exchange Act, except as shall be expressly set forth by specific reference in such a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85"/>
        <w:gridCol w:w="120"/>
        <w:gridCol w:w="768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266261dex991.htm">
              <w:r>
                <w:rPr>
                  <w:rStyle w:val="InternetLink"/>
                </w:rPr>
                <w:t xml:space="preserve">Press Release, dated September 18,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833" w:type="dxa"/>
        <w:jc w:val="left"/>
        <w:tblInd w:w="0" w:type="dxa"/>
        <w:tblLayout w:type="fixed"/>
        <w:tblCellMar>
          <w:top w:w="0" w:type="dxa"/>
          <w:left w:w="0" w:type="dxa"/>
          <w:bottom w:w="0" w:type="dxa"/>
          <w:right w:w="0" w:type="dxa"/>
        </w:tblCellMar>
      </w:tblPr>
      <w:tblGrid>
        <w:gridCol w:w="2630"/>
        <w:gridCol w:w="60"/>
        <w:gridCol w:w="23"/>
        <w:gridCol w:w="60"/>
        <w:gridCol w:w="365"/>
        <w:gridCol w:w="60"/>
        <w:gridCol w:w="3635"/>
      </w:tblGrid>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60" w:type="dxa"/>
            <w:gridSpan w:val="3"/>
            <w:tcBorders/>
            <w:vAlign w:val="center"/>
          </w:tcPr>
          <w:p>
            <w:pPr>
              <w:pStyle w:val="TableContents"/>
              <w:bidi w:val="0"/>
              <w:spacing w:before="0" w:after="283"/>
              <w:jc w:val="left"/>
              <w:rPr>
                <w:b/>
              </w:rPr>
            </w:pPr>
            <w:r>
              <w:rPr>
                <w:b/>
              </w:rPr>
              <w:t>BlossomHill Therapeutics, Inc.</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Dated: September 18,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Jean Cui, Ph.D.</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J. Jean Cui, Ph.D.</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266261dex991.htm"/>
      <w:bookmarkStart w:id="3" w:name="ksd266261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2669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66950" cy="4572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BlossomHill Therapeutics Reports Second Quarter 2026 Financial Results </w:t>
      </w:r>
    </w:p>
    <w:p>
      <w:pPr>
        <w:pStyle w:val="TextBody"/>
        <w:bidi w:val="0"/>
        <w:spacing w:before="240" w:after="0"/>
        <w:jc w:val="center"/>
        <w:rPr>
          <w:rFonts w:ascii="Times New Roman" w:hAnsi="Times New Roman"/>
          <w:i/>
          <w:sz w:val="20"/>
        </w:rPr>
      </w:pPr>
      <w:r>
        <w:rPr>
          <w:rFonts w:ascii="Times New Roman" w:hAnsi="Times New Roman"/>
          <w:i/>
          <w:sz w:val="20"/>
        </w:rPr>
        <w:t xml:space="preserve">Strengthened balance sheet with successful completion of upsized $168.3 million initial public offering </w:t>
      </w:r>
    </w:p>
    <w:p>
      <w:pPr>
        <w:pStyle w:val="TextBody"/>
        <w:bidi w:val="0"/>
        <w:spacing w:before="240" w:after="0"/>
        <w:jc w:val="center"/>
        <w:rPr>
          <w:rFonts w:ascii="Times New Roman" w:hAnsi="Times New Roman"/>
          <w:i/>
          <w:sz w:val="20"/>
        </w:rPr>
      </w:pPr>
      <w:r>
        <w:rPr>
          <w:rFonts w:ascii="Times New Roman" w:hAnsi="Times New Roman"/>
          <w:i/>
          <w:sz w:val="20"/>
        </w:rPr>
        <w:t xml:space="preserve">Announced FDA Fast Track designation for BH-30643 for the treatment of advanced </w:t>
      </w:r>
    </w:p>
    <w:p>
      <w:pPr>
        <w:pStyle w:val="TextBody"/>
        <w:bidi w:val="0"/>
        <w:spacing w:before="0" w:after="0"/>
        <w:jc w:val="center"/>
        <w:rPr>
          <w:rFonts w:ascii="Times New Roman" w:hAnsi="Times New Roman"/>
          <w:i/>
          <w:sz w:val="20"/>
        </w:rPr>
      </w:pPr>
      <w:r>
        <w:rPr>
          <w:rFonts w:ascii="Times New Roman" w:hAnsi="Times New Roman"/>
          <w:i/>
          <w:sz w:val="20"/>
        </w:rPr>
        <w:t xml:space="preserve">EGFR C797S-positive NSCLC </w:t>
      </w:r>
    </w:p>
    <w:p>
      <w:pPr>
        <w:pStyle w:val="TextBody"/>
        <w:bidi w:val="0"/>
        <w:spacing w:before="240" w:after="0"/>
        <w:jc w:val="left"/>
        <w:rPr>
          <w:rFonts w:ascii="Times New Roman" w:hAnsi="Times New Roman"/>
          <w:sz w:val="20"/>
        </w:rPr>
      </w:pPr>
      <w:r>
        <w:rPr>
          <w:rFonts w:ascii="Times New Roman" w:hAnsi="Times New Roman"/>
          <w:b/>
          <w:sz w:val="20"/>
        </w:rPr>
        <w:t>SAN DIEGO, September</w:t>
      </w:r>
      <w:r>
        <w:rPr>
          <w:rFonts w:ascii="Times New Roman" w:hAnsi="Times New Roman"/>
          <w:sz w:val="20"/>
        </w:rPr>
        <w:t> </w:t>
      </w:r>
      <w:r>
        <w:rPr>
          <w:rFonts w:ascii="Times New Roman" w:hAnsi="Times New Roman"/>
          <w:b/>
          <w:sz w:val="20"/>
        </w:rPr>
        <w:t xml:space="preserve">18, 2026 </w:t>
      </w:r>
      <w:r>
        <w:rPr>
          <w:rFonts w:ascii="Times New Roman" w:hAnsi="Times New Roman"/>
          <w:sz w:val="20"/>
        </w:rPr>
        <w:t xml:space="preserve">– </w:t>
      </w:r>
      <w:r>
        <w:rPr>
          <w:rFonts w:ascii="Times New Roman" w:hAnsi="Times New Roman"/>
          <w:sz w:val="20"/>
          <w:u w:val="single"/>
        </w:rPr>
        <w:t>BlossomHill Therapeutics, Inc.</w:t>
      </w:r>
      <w:r>
        <w:rPr>
          <w:rFonts w:ascii="Times New Roman" w:hAnsi="Times New Roman"/>
          <w:sz w:val="20"/>
        </w:rPr>
        <w:t xml:space="preserve"> (Nasdaq: BLSM), a clinical-stage biopharmaceutical company applying an intentional, chemistry-based approach to design and develop innovative small molecule medicines for the treatment of cancer, today announced financial results for the second quarter 2026 and highlighted recent progress. </w:t>
      </w:r>
    </w:p>
    <w:p>
      <w:pPr>
        <w:pStyle w:val="TextBody"/>
        <w:bidi w:val="0"/>
        <w:spacing w:before="240" w:after="0"/>
        <w:jc w:val="left"/>
        <w:rPr/>
      </w:pPr>
      <w:r>
        <w:rPr/>
        <w:t>“</w:t>
      </w:r>
      <w:r>
        <w:rPr>
          <w:rFonts w:ascii="Times New Roman" w:hAnsi="Times New Roman"/>
          <w:sz w:val="20"/>
        </w:rPr>
        <w:t xml:space="preserve">We’ve achieved meaningful progress across our pipeline, as well as our significant corporate milestones, since the beginning of the second quarter,” said Jean Cui, Ph.D., Founder, President and Chief Executive Officer of BlossomHill Therapeutics. “In April, we presented our first preclinical data from our pseudo-irreversible pan-KRAS inhibitor BH-501284, built on a novel chemical scaffold, at AACR where we highlighted the sustained target engagement leading to tumor regression at low dose levels. At ASCO in early June we presented the preliminary safety, PK and antitumor activities of BH-30643 in Phase 1 dose escalation of the SOLARA trial, along with the initial efficacy data in C797S-positive NSCLC. More recently we announced that BH-30643 received Fast Track designation, an important regulatory milestone that reflects the FDA’s recognition of the potential for this molecule. We also presented encouraging safety data and early signs of anti-leukemic activity observed with BH-30236, our novel macrocyclic CLK inhibitor, both as a monotherapy and in combination with venetoclax, at EHA in the middle of June. We are now looking forward to our end-of-phase 1 meeting with the FDA later this year. With a strong balance sheet following our successful initial public offering in August, we believe we are well positioned to deliver important clinical and regulatory milestones over the coming quarters as we continue advancing our intentionally designed medicines that address significant unmet medical needs in cancer treatment.” </w:t>
      </w:r>
    </w:p>
    <w:p>
      <w:pPr>
        <w:pStyle w:val="TextBody"/>
        <w:bidi w:val="0"/>
        <w:spacing w:before="360" w:after="0"/>
        <w:jc w:val="left"/>
        <w:rPr>
          <w:rFonts w:ascii="Times New Roman" w:hAnsi="Times New Roman"/>
          <w:b/>
          <w:sz w:val="20"/>
        </w:rPr>
      </w:pPr>
      <w:r>
        <w:rPr>
          <w:rFonts w:ascii="Times New Roman" w:hAnsi="Times New Roman"/>
          <w:b/>
          <w:sz w:val="20"/>
        </w:rPr>
        <w:t xml:space="preserve">Recent Business Highlights and Corporate Updates: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Strengthened the balance sheet with approximately $168.3 million in gross proceeds from the initial public offering (IPO) in August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Announced the U.S. Food and Drug Administration (FDA) granted Fast Track designation to BH-30643, a macrocyclic OMNI-EGFR inhibitor, for the treatment of adult patients with advanced or metastatic epidermal growth factor receptor (EGFR) C797S-positive non-small cell lung cancer (NSCLC) after prior treatment with a third-generation EGFR tyrosine kinase inhibitor (TKI)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Presented preliminary results of BH-30643 from dose escalation and backfill cohorts in the ongoing Phase 1/2 SOLARA trial in advanced or metastatic EGFR-mutant NSCLC at the American Society of Clinical Oncology (ASCO) 2026 annual meeting, and additional follow up data at IASLC 2026 World Conference on Lung Cancer, which highlighted a 45% objective response rate and 88% disease control rate observed in patients with C797S resistance to prior TKIs, with or without concurrent T790M mutation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Presented the first preclinical data from the pseudo-irreversible pan-KRAS inhibitor BH-501284, built on a novel chemical scaffold, at the American Association for Cancer Research (AACR) 2026 annual meeting </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2266950"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66950" cy="4572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Presented initial clinical data from the ongoing first-in-human Phase 1/1b trial of BH-30236, an orally bioavailable, macrocyclic CDC-like kinase (CLK) inhibitor, in relapsed or refractory acute myeloid leukemia (R/R AML) and higher-risk myelodysplastic syndromes (HR-MDS) at the European Hematology Association (EHA) 2026 Congress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Expanded the Company’s Board of Directors with the appointments of Sheila Gujrathi, M.D., and John Schmid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Anticipated Upcoming Milestones: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BH-30643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Q4 2026: End of Phase 1 meeting regarding a recommended Phase 2 dose selection and a potential accelerated approval pathway in C797S resistance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Q1 2027: First patient dosed in anticipated pivotal Phase 2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1H 2027: Updated Phase 1 data, including C797S durability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2H 2027: Updated Phase 1 data on TKI-naive durability and initial chemo combo cohort data </w:t>
            </w:r>
          </w:p>
        </w:tc>
      </w:tr>
    </w:tbl>
    <w:p>
      <w:pPr>
        <w:pStyle w:val="TextBody"/>
        <w:bidi w:val="0"/>
        <w:spacing w:before="120" w:after="0"/>
        <w:jc w:val="left"/>
        <w:rPr>
          <w:rFonts w:ascii="Times New Roman" w:hAnsi="Times New Roman"/>
          <w:sz w:val="20"/>
        </w:rPr>
      </w:pPr>
      <w:r>
        <w:rPr>
          <w:rFonts w:ascii="Times New Roman" w:hAnsi="Times New Roman"/>
          <w:sz w:val="20"/>
          <w:u w:val="single"/>
        </w:rPr>
        <w:t>BH-501284</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Q1 2027: Investigational New Drug submission </w:t>
            </w:r>
          </w:p>
        </w:tc>
      </w:tr>
    </w:tbl>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BH-30236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1H 2027: Updated Phase 1 data on safety and anti-leukemic effect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Financial Results </w:t>
      </w:r>
    </w:p>
    <w:p>
      <w:pPr>
        <w:pStyle w:val="TextBody"/>
        <w:bidi w:val="0"/>
        <w:spacing w:before="120" w:after="0"/>
        <w:jc w:val="left"/>
        <w:rPr>
          <w:rFonts w:ascii="Times New Roman" w:hAnsi="Times New Roman"/>
          <w:sz w:val="20"/>
        </w:rPr>
      </w:pPr>
      <w:r>
        <w:rPr>
          <w:rFonts w:ascii="Times New Roman" w:hAnsi="Times New Roman"/>
          <w:b/>
          <w:i/>
          <w:sz w:val="20"/>
        </w:rPr>
        <w:t>Research and development (R&amp;D) expenses</w:t>
      </w:r>
      <w:r>
        <w:rPr>
          <w:rFonts w:ascii="Times New Roman" w:hAnsi="Times New Roman"/>
          <w:sz w:val="20"/>
        </w:rPr>
        <w:t xml:space="preserve"> for the second quarter of 2026 were $21.4 million, compared with $12.5 million for the same period in 2025. The increase was primarily due to greater clinical development expenses driven by the SOLARA trial, expenses to support IND-enabling studies for BH-501284, and greater costs related to personnel, facilities and other overhead. </w:t>
      </w:r>
    </w:p>
    <w:p>
      <w:pPr>
        <w:pStyle w:val="TextBody"/>
        <w:bidi w:val="0"/>
        <w:spacing w:before="240" w:after="0"/>
        <w:jc w:val="left"/>
        <w:rPr>
          <w:rFonts w:ascii="Times New Roman" w:hAnsi="Times New Roman"/>
          <w:sz w:val="20"/>
        </w:rPr>
      </w:pPr>
      <w:r>
        <w:rPr>
          <w:rFonts w:ascii="Times New Roman" w:hAnsi="Times New Roman"/>
          <w:b/>
          <w:i/>
          <w:sz w:val="20"/>
        </w:rPr>
        <w:t>General and administrative (G&amp;A) expenses</w:t>
      </w:r>
      <w:r>
        <w:rPr>
          <w:rFonts w:ascii="Times New Roman" w:hAnsi="Times New Roman"/>
          <w:sz w:val="20"/>
        </w:rPr>
        <w:t xml:space="preserve"> for the second quarter of 2026 were $3.3 million, compared with $1.6 million for the same period in 2025. The increase was primarily due to greater legal expenses, personnel-related expenses and overhead. </w:t>
      </w:r>
    </w:p>
    <w:p>
      <w:pPr>
        <w:pStyle w:val="TextBody"/>
        <w:bidi w:val="0"/>
        <w:spacing w:before="240" w:after="0"/>
        <w:jc w:val="left"/>
        <w:rPr>
          <w:rFonts w:ascii="Times New Roman" w:hAnsi="Times New Roman"/>
          <w:sz w:val="20"/>
        </w:rPr>
      </w:pPr>
      <w:r>
        <w:rPr>
          <w:rFonts w:ascii="Times New Roman" w:hAnsi="Times New Roman"/>
          <w:b/>
          <w:i/>
          <w:sz w:val="20"/>
        </w:rPr>
        <w:t>Net loss</w:t>
      </w:r>
      <w:r>
        <w:rPr>
          <w:rFonts w:ascii="Times New Roman" w:hAnsi="Times New Roman"/>
          <w:sz w:val="20"/>
        </w:rPr>
        <w:t xml:space="preserve"> for the second quarter of 2026 was $23.8 million, or $(8.75) per basic and diluted share, compared with a net loss of $13.2 million, or $(5.51) per basic and diluted share for the same period in 2025. The increase in net loss was primarily attributable to increased operating expenses. </w:t>
      </w:r>
    </w:p>
    <w:p>
      <w:pPr>
        <w:pStyle w:val="TextBody"/>
        <w:bidi w:val="0"/>
        <w:spacing w:before="240" w:after="0"/>
        <w:jc w:val="left"/>
        <w:rPr>
          <w:rFonts w:ascii="Times New Roman" w:hAnsi="Times New Roman"/>
          <w:sz w:val="20"/>
        </w:rPr>
      </w:pPr>
      <w:r>
        <w:rPr>
          <w:rFonts w:ascii="Times New Roman" w:hAnsi="Times New Roman"/>
          <w:b/>
          <w:i/>
          <w:sz w:val="20"/>
        </w:rPr>
        <w:t>Cash and cash equivalents</w:t>
      </w:r>
      <w:r>
        <w:rPr>
          <w:rFonts w:ascii="Times New Roman" w:hAnsi="Times New Roman"/>
          <w:sz w:val="20"/>
        </w:rPr>
        <w:t xml:space="preserve"> totaled $95.4 million as of June 30, 2026. BlossomHill subsequently completed its IPO in August 2026 in which it sold 10,516,240 shares of its common stock, including partial exercise of the over-allotment option, for gross proceeds of $168.3 million. BlossomHill believes that its cash and cash equivalents as of June 30, 2026, together with the proceeds from its IPO, will be sufficient to fund its operations into the second quarter of 2028.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266950" cy="457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66950" cy="457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BH-30643 </w:t>
      </w:r>
    </w:p>
    <w:p>
      <w:pPr>
        <w:pStyle w:val="TextBody"/>
        <w:bidi w:val="0"/>
        <w:spacing w:before="120" w:after="0"/>
        <w:jc w:val="left"/>
        <w:rPr>
          <w:rFonts w:ascii="Times New Roman" w:hAnsi="Times New Roman"/>
          <w:sz w:val="20"/>
        </w:rPr>
      </w:pPr>
      <w:r>
        <w:rPr>
          <w:rFonts w:ascii="Times New Roman" w:hAnsi="Times New Roman"/>
          <w:sz w:val="20"/>
        </w:rPr>
        <w:t xml:space="preserve">BH-30643 is an investigational, novel, orally bioavailable, non-covalent, macrocyclic, brain active, mutant-selective, OMNI-EGFR inhibitor for the treatment of </w:t>
      </w:r>
      <w:r>
        <w:rPr>
          <w:rFonts w:ascii="Times New Roman" w:hAnsi="Times New Roman"/>
          <w:i/>
          <w:sz w:val="20"/>
        </w:rPr>
        <w:t>EGFR</w:t>
      </w:r>
      <w:r>
        <w:rPr>
          <w:rFonts w:ascii="Times New Roman" w:hAnsi="Times New Roman"/>
          <w:sz w:val="20"/>
        </w:rPr>
        <w:t xml:space="preserve">-mutant NSCLC. BH-30643 was designed to overcome the limitations of currently approved EGFR inhibitors, which were discovered over a decade ago without the current, modern understanding of the structure and protein dynamics of mutant EGFRs. In preclinical studies, BH-30643 demonstrated potent inhibitory activity across diverse </w:t>
      </w:r>
      <w:r>
        <w:rPr>
          <w:rFonts w:ascii="Times New Roman" w:hAnsi="Times New Roman"/>
          <w:i/>
          <w:sz w:val="20"/>
        </w:rPr>
        <w:t>EGFR</w:t>
      </w:r>
      <w:r>
        <w:rPr>
          <w:rFonts w:ascii="Times New Roman" w:hAnsi="Times New Roman"/>
          <w:sz w:val="20"/>
        </w:rPr>
        <w:t xml:space="preserve"> mutation categories – classical mutations, on-target resistance mutations such as C797S with or without T790M, atypical mutations and exon 20 insertions – while maintaining marked selectivity over wild-type EGFR. BH-30643 has received Fast Track designation and is being evaluated in SOLARA, a global Phase 1/2, first-in-human clinical trial spanning more than 40 sites in 10 countries. Ongoing dose expansion cohorts are enrolling in both TKI-pretreated and TKI-naive settings, including a C797S resistance cohort. For additional information on SOLARA, including a list of study sites and how to enroll, please visit clinicaltrials.gov (</w:t>
      </w:r>
      <w:r>
        <w:rPr>
          <w:rFonts w:ascii="Times New Roman" w:hAnsi="Times New Roman"/>
          <w:sz w:val="20"/>
          <w:u w:val="single"/>
        </w:rPr>
        <w:t>NCT06706076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About BH-30236 </w:t>
      </w:r>
      <w:r>
        <w:rPr>
          <w:rFonts w:ascii="Times New Roman" w:hAnsi="Times New Roman"/>
          <w:sz w:val="20"/>
        </w:rPr>
        <w:t>BH-30236 is an investigational orally bioavailable, macrocyclic inhibitor of the CDC-like kinase (CLK) family. BH-30236 was intentionally designed to potently inhibit CLK, leading to modulation of aberrant alternative splicing in cancerous tissue, targeting the same aberrant splicing machinery that drives relapsed or refractory (R/R) acute myeloid leukemia (AML) and higher-risk myelodysplastic syndromes (HR-MDS) disease biology and that cancer cells exploit to develop resistance to venetoclax, FLT3 inhibitors and cytarabine. BH-30236 is being evaluated in a Phase 1/1b multicenter, open-label, first-in-human dose escalation and expansion trial in adults with R/R AML and HR-MDS. The U.S. Food and Drug Administration (FDA) has granted orphan drug designation to BH-30236 for the treatment of AML. For additional information on this trial, including a list of study sites and how to enroll, please visit clinicaltrials.gov (</w:t>
      </w:r>
      <w:r>
        <w:rPr>
          <w:rFonts w:ascii="Times New Roman" w:hAnsi="Times New Roman"/>
          <w:sz w:val="20"/>
          <w:u w:val="single"/>
        </w:rPr>
        <w:t>NCT06501196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About BH-501284 </w:t>
      </w:r>
      <w:r>
        <w:rPr>
          <w:rFonts w:ascii="Times New Roman" w:hAnsi="Times New Roman"/>
          <w:sz w:val="20"/>
        </w:rPr>
        <w:t xml:space="preserve">BH-501284 is an investigational, orally bioavailable pan-KRAS inhibitor, which utilizes a novel Switch-II chemical scaffold to achieve prolonged, potent and selective inhibition of KRAS mutations. We believe this molecule, which uses a non-covalent scaffold, is unique in its potential to achieve tight and durable binding, a feature described as “pseudo-irreversible” binding. In preclinical studies, BH-501284 has achieved pseudo-irreversible binding characteristics with high binding affinity, while maintaining high selectivity for KRAS. </w:t>
      </w:r>
    </w:p>
    <w:p>
      <w:pPr>
        <w:pStyle w:val="TextBody"/>
        <w:bidi w:val="0"/>
        <w:spacing w:before="360" w:after="0"/>
        <w:jc w:val="left"/>
        <w:rPr>
          <w:rFonts w:ascii="Times New Roman" w:hAnsi="Times New Roman"/>
          <w:b/>
          <w:sz w:val="20"/>
        </w:rPr>
      </w:pPr>
      <w:r>
        <w:rPr>
          <w:rFonts w:ascii="Times New Roman" w:hAnsi="Times New Roman"/>
          <w:b/>
          <w:sz w:val="20"/>
        </w:rPr>
        <w:t xml:space="preserve">About BlossomHill Therapeutics </w:t>
      </w:r>
    </w:p>
    <w:p>
      <w:pPr>
        <w:pStyle w:val="TextBody"/>
        <w:bidi w:val="0"/>
        <w:spacing w:before="120" w:after="0"/>
        <w:jc w:val="left"/>
        <w:rPr>
          <w:rFonts w:ascii="Times New Roman" w:hAnsi="Times New Roman"/>
          <w:sz w:val="20"/>
        </w:rPr>
      </w:pPr>
      <w:r>
        <w:rPr>
          <w:rFonts w:ascii="Times New Roman" w:hAnsi="Times New Roman"/>
          <w:sz w:val="20"/>
        </w:rPr>
        <w:t xml:space="preserve">BlossomHill Therapeutics, Inc. is a clinical-stage biopharmaceutical company applying an intentional, chemistry-based approach to design and develop innovative small molecule medicines that address significant unmet medical needs in cancer treatment. Founded and led by industry veteran J. Jean Cui, Ph.D., with her proven track record in oncology drug design and development – including three FDA-approved drugs – BlossomHill Therapeutics applies cutting-edge science with a goal to address key oncogenic drivers and improve patient outcomes in difficult-to-treat cancers. The company’s lead clinical program is BH-30643, an investigational, non-covalent, macrocyclic, brain active, mutant-selective OMNI-EGFRTM inhibitor for the treatment of EGFR-mutant non-small cell lung cancer (NSCLC), which has received Fast Track designation for the C797S resistance population after 3rd generation EGFR TKI treatment. The company is also conducting clinical development of BH-30236, an investigational macrocyclic CDC-like kinase (CLK) inhibitor initially being studied in a clinical trial for the treatment of relapsed or refractory acute myeloid leukemia (R/R AML) and higher-risk myelodysplastic syndromes (HR-MDS). The company’s pipeline also includes BH-501284, a preclinical, non-covalent, selective, pan-KRAS Switch-II inhibitor for potential future development in diverse KRAS-mutant tumors.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266950" cy="457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266950" cy="457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BlossomHill Therapeutics is headquartered in San Diego, California. For more information, visit </w:t>
      </w:r>
      <w:r>
        <w:rPr>
          <w:rFonts w:ascii="Times New Roman" w:hAnsi="Times New Roman"/>
          <w:sz w:val="20"/>
          <w:u w:val="single"/>
        </w:rPr>
        <w:t>bhtherapeutics.com</w:t>
      </w:r>
      <w:r>
        <w:rPr>
          <w:rFonts w:ascii="Times New Roman" w:hAnsi="Times New Roman"/>
          <w:sz w:val="20"/>
        </w:rPr>
        <w:t> and follow us on </w:t>
      </w:r>
      <w:r>
        <w:rPr>
          <w:rFonts w:ascii="Times New Roman" w:hAnsi="Times New Roman"/>
          <w:sz w:val="20"/>
          <w:u w:val="single"/>
        </w:rPr>
        <w:t>LinkedIn</w:t>
      </w:r>
      <w:r>
        <w:rPr>
          <w:rFonts w:ascii="Times New Roman" w:hAnsi="Times New Roman"/>
          <w:sz w:val="20"/>
        </w:rPr>
        <w:t> and </w:t>
      </w:r>
      <w:r>
        <w:rPr>
          <w:rFonts w:ascii="Times New Roman" w:hAnsi="Times New Roman"/>
          <w:sz w:val="20"/>
          <w:u w:val="single"/>
        </w:rPr>
        <w:t>X</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contains forward-looking statements within the meaning of the Private Securities Litigation Reform Act of 1995, as amended, and other federal securities laws, including, without limitation, statements regarding: the therapeutic potential, clinical benefits, safety and potential competitive differentiation of the company’s product candidates, including BH-30643, BH-30236 and BH-501284; the anticipated benefits of regulatory designations received, or that may be received, by the company’s product candidates; the design, enrollment, timing, progress and results of the company’s clinical trials and preclinical studies; the company’s planned regulatory interactions and submissions; anticipated program milestones, including the timing of program and data updates; the period over which the company estimates its existing cash and cash equivalents, together with the net proceeds from its initial public offering, will be sufficient to fund its current operating plan; statements by the company’s management; and the company’s development plans and continued advancement of its pipeline. The words “anticipate,” “believe,” “could,” “estimate,” “expect,” “intend,” “may,” “plan,” “potential,” “predict,” “project,” “should,” “target,” “upcoming,” “will,” “would” and similar expressions are intended to identify forward-looking statements, although not all forward-looking statements contain these identifying words. </w:t>
      </w:r>
    </w:p>
    <w:p>
      <w:pPr>
        <w:pStyle w:val="TextBody"/>
        <w:bidi w:val="0"/>
        <w:spacing w:before="240" w:after="0"/>
        <w:jc w:val="left"/>
        <w:rPr>
          <w:rFonts w:ascii="Times New Roman" w:hAnsi="Times New Roman"/>
          <w:i/>
          <w:sz w:val="20"/>
        </w:rPr>
      </w:pPr>
      <w:r>
        <w:rPr>
          <w:rFonts w:ascii="Times New Roman" w:hAnsi="Times New Roman"/>
          <w:i/>
          <w:sz w:val="20"/>
        </w:rPr>
        <w:t xml:space="preserve">Any forward-looking statements in this press release are based on management’s current expectations and beliefs and are subject to a number of risks, uncertainties and important factors that may cause actual events or results to differ materially, including, without limitation: the company’s limited operating history, history of significant losses and the early stage of development of its product candidates; the risk that preliminary and interim clinical data are subject to further analysis and may not be predictive of, may be inconsistent with, or may be more favorable than, data generated as clinical trials continue or data from future clinical trials; uncertainties inherent in the initiation, timing, design and enrollment of clinical trials, and the availability and timing of data from ongoing and future trials; the company’s ability to successfully demonstrate the safety and efficacy of its product candidates and to obtain and maintain regulatory approvals; the timing and outcome of planned interactions with, and submissions to, the FDA and other regulatory authorities, including whether an accelerated approval pathway will be available to the company; the risk that regulatory designations, including Fast Track and orphan drug designation, may not result in a faster development, review or approval process, may not increase the likelihood of regulatory approval, and may be withdrawn; competition from third parties that are developing products for similar indications; the prior success of the company’s management team may not be indicative of future success; the company’s reliance on third parties, including contract research organizations and contract manufacturing organizations; the company’s ability to obtain, maintain and protect its intellectual property; and the company’s need for additional financing and its estimates regarding operating expenses and capital requirements. These and other risks are described in greater detail under the heading “Risk Factors” in the company’s filings with the Securities and Exchange Commission (the “SEC”), its Quarterly Report on Form 10-Q for the quarter ended June 30, 2026, which will be filed with the SEC later today, as well as in the company’s subsequent filings with the SEC. Any forward-looking statements represent the company’s views only as of the date of this press release, and the company expressly disclaims any obligation to update any forward-looking statements, except as required by law.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266950" cy="457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266950" cy="457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Company Contact: </w:t>
      </w:r>
    </w:p>
    <w:p>
      <w:pPr>
        <w:pStyle w:val="TextBody"/>
        <w:bidi w:val="0"/>
        <w:spacing w:before="0" w:after="0"/>
        <w:jc w:val="left"/>
        <w:rPr>
          <w:rFonts w:ascii="Times New Roman" w:hAnsi="Times New Roman"/>
          <w:sz w:val="20"/>
        </w:rPr>
      </w:pPr>
      <w:r>
        <w:rPr>
          <w:rFonts w:ascii="Times New Roman" w:hAnsi="Times New Roman"/>
          <w:sz w:val="20"/>
        </w:rPr>
        <w:t xml:space="preserve">Michael Moore, BlossomHill Therapeutics </w:t>
      </w:r>
    </w:p>
    <w:p>
      <w:pPr>
        <w:pStyle w:val="TextBody"/>
        <w:bidi w:val="0"/>
        <w:spacing w:before="0" w:after="0"/>
        <w:jc w:val="left"/>
        <w:rPr>
          <w:rFonts w:ascii="Times New Roman" w:hAnsi="Times New Roman"/>
          <w:sz w:val="20"/>
        </w:rPr>
      </w:pPr>
      <w:r>
        <w:rPr>
          <w:rFonts w:ascii="Times New Roman" w:hAnsi="Times New Roman"/>
          <w:sz w:val="20"/>
        </w:rPr>
        <w:t xml:space="preserve">michael.moore@bhtherapeutics.com </w:t>
      </w:r>
    </w:p>
    <w:p>
      <w:pPr>
        <w:pStyle w:val="TextBody"/>
        <w:bidi w:val="0"/>
        <w:spacing w:before="240" w:after="0"/>
        <w:jc w:val="left"/>
        <w:rPr>
          <w:rFonts w:ascii="Times New Roman" w:hAnsi="Times New Roman"/>
          <w:b/>
          <w:sz w:val="20"/>
        </w:rPr>
      </w:pPr>
      <w:r>
        <w:rPr>
          <w:rFonts w:ascii="Times New Roman" w:hAnsi="Times New Roman"/>
          <w:b/>
          <w:sz w:val="20"/>
        </w:rPr>
        <w:t xml:space="preserve">Media: </w:t>
      </w:r>
    </w:p>
    <w:p>
      <w:pPr>
        <w:pStyle w:val="TextBody"/>
        <w:bidi w:val="0"/>
        <w:spacing w:before="0" w:after="0"/>
        <w:jc w:val="left"/>
        <w:rPr>
          <w:rFonts w:ascii="Times New Roman" w:hAnsi="Times New Roman"/>
          <w:sz w:val="20"/>
        </w:rPr>
      </w:pPr>
      <w:r>
        <w:rPr>
          <w:rFonts w:ascii="Times New Roman" w:hAnsi="Times New Roman"/>
          <w:sz w:val="20"/>
        </w:rPr>
        <w:t xml:space="preserve">Ashlea Kosikowski, 1AB </w:t>
      </w:r>
    </w:p>
    <w:p>
      <w:pPr>
        <w:pStyle w:val="TextBody"/>
        <w:bidi w:val="0"/>
        <w:spacing w:before="0" w:after="0"/>
        <w:jc w:val="left"/>
        <w:rPr>
          <w:rFonts w:ascii="Times New Roman" w:hAnsi="Times New Roman"/>
          <w:sz w:val="20"/>
        </w:rPr>
      </w:pPr>
      <w:r>
        <w:rPr>
          <w:rFonts w:ascii="Times New Roman" w:hAnsi="Times New Roman"/>
          <w:sz w:val="20"/>
        </w:rPr>
        <w:t xml:space="preserve">ashlea@1abmedia.com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266950" cy="457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266950" cy="457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BLOSSOMHILL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CONDENSED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par value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38"/>
        <w:gridCol w:w="227"/>
        <w:gridCol w:w="195"/>
        <w:gridCol w:w="1226"/>
        <w:gridCol w:w="155"/>
        <w:gridCol w:w="184"/>
        <w:gridCol w:w="195"/>
        <w:gridCol w:w="1226"/>
        <w:gridCol w:w="159"/>
      </w:tblGrid>
      <w:tr>
        <w:trPr/>
        <w:tc>
          <w:tcPr>
            <w:tcW w:w="6638"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3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9" w:type="dxa"/>
            <w:tcBorders/>
            <w:vAlign w:val="bottom"/>
          </w:tcPr>
          <w:p>
            <w:pPr>
              <w:pStyle w:val="TableContents"/>
              <w:bidi w:val="0"/>
              <w:spacing w:before="0" w:after="283"/>
              <w:jc w:val="left"/>
              <w:rPr/>
            </w:pPr>
            <w:r>
              <w:rPr/>
              <w:t> </w:t>
            </w:r>
          </w:p>
        </w:tc>
      </w:tr>
      <w:tr>
        <w:trPr/>
        <w:tc>
          <w:tcPr>
            <w:tcW w:w="663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21" w:type="dxa"/>
            <w:gridSpan w:val="2"/>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21"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66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3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95,376</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136,682</w:t>
            </w:r>
          </w:p>
        </w:tc>
        <w:tc>
          <w:tcPr>
            <w:tcW w:w="159" w:type="dxa"/>
            <w:tcBorders/>
            <w:shd w:fill="CCEEFF" w:val="clear"/>
            <w:vAlign w:val="bottom"/>
          </w:tcPr>
          <w:p>
            <w:pPr>
              <w:pStyle w:val="TableContents"/>
              <w:bidi w:val="0"/>
              <w:spacing w:before="0" w:after="283"/>
              <w:jc w:val="left"/>
              <w:rPr/>
            </w:pPr>
            <w:r>
              <w:rPr/>
              <w:t> </w:t>
            </w:r>
          </w:p>
        </w:tc>
      </w:tr>
      <w:tr>
        <w:trPr/>
        <w:tc>
          <w:tcPr>
            <w:tcW w:w="663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5,592</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2,144</w:t>
            </w:r>
          </w:p>
        </w:tc>
        <w:tc>
          <w:tcPr>
            <w:tcW w:w="159" w:type="dxa"/>
            <w:tcBorders/>
            <w:vAlign w:val="bottom"/>
          </w:tcPr>
          <w:p>
            <w:pPr>
              <w:pStyle w:val="TableContents"/>
              <w:bidi w:val="0"/>
              <w:spacing w:before="0" w:after="283"/>
              <w:jc w:val="left"/>
              <w:rPr/>
            </w:pPr>
            <w:r>
              <w:rPr/>
              <w:t> </w:t>
            </w:r>
          </w:p>
        </w:tc>
      </w:tr>
      <w:tr>
        <w:trPr/>
        <w:tc>
          <w:tcPr>
            <w:tcW w:w="6638"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100,968</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138,826</w:t>
            </w:r>
          </w:p>
        </w:tc>
        <w:tc>
          <w:tcPr>
            <w:tcW w:w="159" w:type="dxa"/>
            <w:tcBorders/>
            <w:shd w:fill="CCEEFF" w:val="clear"/>
            <w:vAlign w:val="bottom"/>
          </w:tcPr>
          <w:p>
            <w:pPr>
              <w:pStyle w:val="TableContents"/>
              <w:bidi w:val="0"/>
              <w:spacing w:before="0" w:after="283"/>
              <w:jc w:val="left"/>
              <w:rPr/>
            </w:pPr>
            <w:r>
              <w:rPr/>
              <w:t> </w:t>
            </w:r>
          </w:p>
        </w:tc>
      </w:tr>
      <w:tr>
        <w:trPr/>
        <w:tc>
          <w:tcPr>
            <w:tcW w:w="6638"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1,489</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1,726</w:t>
            </w:r>
          </w:p>
        </w:tc>
        <w:tc>
          <w:tcPr>
            <w:tcW w:w="159" w:type="dxa"/>
            <w:tcBorders/>
            <w:vAlign w:val="bottom"/>
          </w:tcPr>
          <w:p>
            <w:pPr>
              <w:pStyle w:val="TableContents"/>
              <w:bidi w:val="0"/>
              <w:spacing w:before="0" w:after="283"/>
              <w:jc w:val="left"/>
              <w:rPr/>
            </w:pPr>
            <w:r>
              <w:rPr/>
              <w:t> </w:t>
            </w:r>
          </w:p>
        </w:tc>
      </w:tr>
      <w:tr>
        <w:trPr/>
        <w:tc>
          <w:tcPr>
            <w:tcW w:w="6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19,197</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19,921</w:t>
            </w:r>
          </w:p>
        </w:tc>
        <w:tc>
          <w:tcPr>
            <w:tcW w:w="159" w:type="dxa"/>
            <w:tcBorders/>
            <w:shd w:fill="CCEEFF" w:val="clear"/>
            <w:vAlign w:val="bottom"/>
          </w:tcPr>
          <w:p>
            <w:pPr>
              <w:pStyle w:val="TableContents"/>
              <w:bidi w:val="0"/>
              <w:spacing w:before="0" w:after="283"/>
              <w:jc w:val="left"/>
              <w:rPr/>
            </w:pPr>
            <w:r>
              <w:rPr/>
              <w:t> </w:t>
            </w:r>
          </w:p>
        </w:tc>
      </w:tr>
      <w:tr>
        <w:trPr/>
        <w:tc>
          <w:tcPr>
            <w:tcW w:w="6638"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2,477</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2,495</w:t>
            </w:r>
          </w:p>
        </w:tc>
        <w:tc>
          <w:tcPr>
            <w:tcW w:w="159" w:type="dxa"/>
            <w:tcBorders/>
            <w:vAlign w:val="bottom"/>
          </w:tcPr>
          <w:p>
            <w:pPr>
              <w:pStyle w:val="TableContents"/>
              <w:bidi w:val="0"/>
              <w:spacing w:before="0" w:after="283"/>
              <w:jc w:val="left"/>
              <w:rPr/>
            </w:pPr>
            <w:r>
              <w:rPr/>
              <w:t> </w:t>
            </w:r>
          </w:p>
        </w:tc>
      </w:tr>
      <w:tr>
        <w:trPr/>
        <w:tc>
          <w:tcPr>
            <w:tcW w:w="6638"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124,131</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162,968</w:t>
            </w:r>
          </w:p>
        </w:tc>
        <w:tc>
          <w:tcPr>
            <w:tcW w:w="159" w:type="dxa"/>
            <w:tcBorders/>
            <w:shd w:fill="CCEEFF" w:val="clear"/>
            <w:vAlign w:val="bottom"/>
          </w:tcPr>
          <w:p>
            <w:pPr>
              <w:pStyle w:val="TableContents"/>
              <w:bidi w:val="0"/>
              <w:spacing w:before="0" w:after="283"/>
              <w:jc w:val="left"/>
              <w:rPr/>
            </w:pPr>
            <w:r>
              <w:rPr/>
              <w:t> </w:t>
            </w:r>
          </w:p>
        </w:tc>
      </w:tr>
      <w:tr>
        <w:trPr/>
        <w:tc>
          <w:tcPr>
            <w:tcW w:w="6638"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3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deficit</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3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3,930</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2,314</w:t>
            </w:r>
          </w:p>
        </w:tc>
        <w:tc>
          <w:tcPr>
            <w:tcW w:w="159" w:type="dxa"/>
            <w:tcBorders/>
            <w:vAlign w:val="bottom"/>
          </w:tcPr>
          <w:p>
            <w:pPr>
              <w:pStyle w:val="TableContents"/>
              <w:bidi w:val="0"/>
              <w:spacing w:before="0" w:after="283"/>
              <w:jc w:val="left"/>
              <w:rPr/>
            </w:pPr>
            <w:r>
              <w:rPr/>
              <w:t> </w:t>
            </w:r>
          </w:p>
        </w:tc>
      </w:tr>
      <w:tr>
        <w:trPr/>
        <w:tc>
          <w:tcPr>
            <w:tcW w:w="6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9,194</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8,431</w:t>
            </w:r>
          </w:p>
        </w:tc>
        <w:tc>
          <w:tcPr>
            <w:tcW w:w="159" w:type="dxa"/>
            <w:tcBorders/>
            <w:shd w:fill="CCEEFF" w:val="clear"/>
            <w:vAlign w:val="bottom"/>
          </w:tcPr>
          <w:p>
            <w:pPr>
              <w:pStyle w:val="TableContents"/>
              <w:bidi w:val="0"/>
              <w:spacing w:before="0" w:after="283"/>
              <w:jc w:val="left"/>
              <w:rPr/>
            </w:pPr>
            <w:r>
              <w:rPr/>
              <w:t> </w:t>
            </w:r>
          </w:p>
        </w:tc>
      </w:tr>
      <w:tr>
        <w:trPr/>
        <w:tc>
          <w:tcPr>
            <w:tcW w:w="6638"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3,539</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4,730</w:t>
            </w:r>
          </w:p>
        </w:tc>
        <w:tc>
          <w:tcPr>
            <w:tcW w:w="159" w:type="dxa"/>
            <w:tcBorders/>
            <w:vAlign w:val="bottom"/>
          </w:tcPr>
          <w:p>
            <w:pPr>
              <w:pStyle w:val="TableContents"/>
              <w:bidi w:val="0"/>
              <w:spacing w:before="0" w:after="283"/>
              <w:jc w:val="left"/>
              <w:rPr/>
            </w:pPr>
            <w:r>
              <w:rPr/>
              <w:t> </w:t>
            </w:r>
          </w:p>
        </w:tc>
      </w:tr>
      <w:tr>
        <w:trPr/>
        <w:tc>
          <w:tcPr>
            <w:tcW w:w="6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809</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63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 current</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1,149</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w:t>
            </w:r>
          </w:p>
        </w:tc>
        <w:tc>
          <w:tcPr>
            <w:tcW w:w="159" w:type="dxa"/>
            <w:tcBorders/>
            <w:vAlign w:val="bottom"/>
          </w:tcPr>
          <w:p>
            <w:pPr>
              <w:pStyle w:val="TableContents"/>
              <w:bidi w:val="0"/>
              <w:spacing w:before="0" w:after="283"/>
              <w:jc w:val="left"/>
              <w:rPr/>
            </w:pPr>
            <w:r>
              <w:rPr/>
              <w:t> </w:t>
            </w:r>
          </w:p>
        </w:tc>
      </w:tr>
      <w:tr>
        <w:trPr/>
        <w:tc>
          <w:tcPr>
            <w:tcW w:w="6638"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18,621</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15,480</w:t>
            </w:r>
          </w:p>
        </w:tc>
        <w:tc>
          <w:tcPr>
            <w:tcW w:w="159" w:type="dxa"/>
            <w:tcBorders/>
            <w:shd w:fill="CCEEFF" w:val="clear"/>
            <w:vAlign w:val="bottom"/>
          </w:tcPr>
          <w:p>
            <w:pPr>
              <w:pStyle w:val="TableContents"/>
              <w:bidi w:val="0"/>
              <w:spacing w:before="0" w:after="283"/>
              <w:jc w:val="left"/>
              <w:rPr/>
            </w:pPr>
            <w:r>
              <w:rPr/>
              <w:t> </w:t>
            </w:r>
          </w:p>
        </w:tc>
      </w:tr>
      <w:tr>
        <w:trPr/>
        <w:tc>
          <w:tcPr>
            <w:tcW w:w="663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 non-current</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22,222</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22,393</w:t>
            </w:r>
          </w:p>
        </w:tc>
        <w:tc>
          <w:tcPr>
            <w:tcW w:w="159" w:type="dxa"/>
            <w:tcBorders/>
            <w:vAlign w:val="bottom"/>
          </w:tcPr>
          <w:p>
            <w:pPr>
              <w:pStyle w:val="TableContents"/>
              <w:bidi w:val="0"/>
              <w:spacing w:before="0" w:after="283"/>
              <w:jc w:val="left"/>
              <w:rPr/>
            </w:pPr>
            <w:r>
              <w:rPr/>
              <w:t> </w:t>
            </w:r>
          </w:p>
        </w:tc>
      </w:tr>
      <w:tr>
        <w:trPr/>
        <w:tc>
          <w:tcPr>
            <w:tcW w:w="6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1,245</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638"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3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42,088</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37,873</w:t>
            </w:r>
          </w:p>
        </w:tc>
        <w:tc>
          <w:tcPr>
            <w:tcW w:w="159" w:type="dxa"/>
            <w:tcBorders/>
            <w:vAlign w:val="bottom"/>
          </w:tcPr>
          <w:p>
            <w:pPr>
              <w:pStyle w:val="TableContents"/>
              <w:bidi w:val="0"/>
              <w:spacing w:before="0" w:after="283"/>
              <w:jc w:val="left"/>
              <w:rPr/>
            </w:pPr>
            <w:r>
              <w:rPr/>
              <w:t> </w:t>
            </w:r>
          </w:p>
        </w:tc>
      </w:tr>
      <w:tr>
        <w:trPr/>
        <w:tc>
          <w:tcPr>
            <w:tcW w:w="6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$0.0001 par value; 85,552,612 shares authorized at June 30, 2026 and December 31, 2025; 18,258,960 shares issued and outstanding at June 30, 2026 and December 31, 2025; $257,153 aggregate liquidation preference at June 30, 2026 and December 31, 2025</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256,823</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256,823</w:t>
            </w:r>
          </w:p>
        </w:tc>
        <w:tc>
          <w:tcPr>
            <w:tcW w:w="159" w:type="dxa"/>
            <w:tcBorders/>
            <w:shd w:fill="CCEEFF" w:val="clear"/>
            <w:vAlign w:val="bottom"/>
          </w:tcPr>
          <w:p>
            <w:pPr>
              <w:pStyle w:val="TableContents"/>
              <w:bidi w:val="0"/>
              <w:spacing w:before="0" w:after="283"/>
              <w:jc w:val="left"/>
              <w:rPr/>
            </w:pPr>
            <w:r>
              <w:rPr/>
              <w:t> </w:t>
            </w:r>
          </w:p>
        </w:tc>
      </w:tr>
      <w:tr>
        <w:trPr/>
        <w:tc>
          <w:tcPr>
            <w:tcW w:w="6638"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$0.0001 par value; 110,000,000 shares authorized at June 30, 2026 and December 31, 2025; 2,767,848 and 2,548,659 shares issued and outstanding as of June 30, 2026 and December 31, 2025, respectively</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6638"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5,014</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3,300</w:t>
            </w:r>
          </w:p>
        </w:tc>
        <w:tc>
          <w:tcPr>
            <w:tcW w:w="159" w:type="dxa"/>
            <w:tcBorders/>
            <w:vAlign w:val="bottom"/>
          </w:tcPr>
          <w:p>
            <w:pPr>
              <w:pStyle w:val="TableContents"/>
              <w:bidi w:val="0"/>
              <w:spacing w:before="0" w:after="283"/>
              <w:jc w:val="left"/>
              <w:rPr/>
            </w:pPr>
            <w:r>
              <w:rPr/>
              <w:t> </w:t>
            </w:r>
          </w:p>
        </w:tc>
      </w:tr>
      <w:tr>
        <w:trPr/>
        <w:tc>
          <w:tcPr>
            <w:tcW w:w="6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(179,795</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(135,029</w:t>
            </w:r>
          </w:p>
        </w:tc>
        <w:tc>
          <w:tcPr>
            <w:tcW w:w="159" w:type="dxa"/>
            <w:tcBorders/>
            <w:shd w:fill="CCEEFF" w:val="clear"/>
            <w:vAlign w:val="bottom"/>
          </w:tcPr>
          <w:p>
            <w:pPr>
              <w:pStyle w:val="TableContents"/>
              <w:bidi w:val="0"/>
              <w:spacing w:before="0" w:after="283"/>
              <w:jc w:val="left"/>
              <w:rPr/>
            </w:pPr>
            <w:r>
              <w:rPr/>
              <w:t>) </w:t>
            </w:r>
          </w:p>
        </w:tc>
      </w:tr>
      <w:tr>
        <w:trPr/>
        <w:tc>
          <w:tcPr>
            <w:tcW w:w="6638"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38"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(174,780</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(131,728</w:t>
            </w:r>
          </w:p>
        </w:tc>
        <w:tc>
          <w:tcPr>
            <w:tcW w:w="159" w:type="dxa"/>
            <w:tcBorders/>
            <w:vAlign w:val="bottom"/>
          </w:tcPr>
          <w:p>
            <w:pPr>
              <w:pStyle w:val="TableContents"/>
              <w:bidi w:val="0"/>
              <w:spacing w:before="0" w:after="283"/>
              <w:jc w:val="left"/>
              <w:rPr/>
            </w:pPr>
            <w:r>
              <w:rPr/>
              <w:t>) </w:t>
            </w:r>
          </w:p>
        </w:tc>
      </w:tr>
      <w:tr>
        <w:trPr/>
        <w:tc>
          <w:tcPr>
            <w:tcW w:w="6638"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124,131</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162,968</w:t>
            </w:r>
          </w:p>
        </w:tc>
        <w:tc>
          <w:tcPr>
            <w:tcW w:w="159" w:type="dxa"/>
            <w:tcBorders/>
            <w:shd w:fill="CCEEFF" w:val="clear"/>
            <w:vAlign w:val="bottom"/>
          </w:tcPr>
          <w:p>
            <w:pPr>
              <w:pStyle w:val="TableContents"/>
              <w:bidi w:val="0"/>
              <w:spacing w:before="0" w:after="283"/>
              <w:jc w:val="left"/>
              <w:rPr/>
            </w:pPr>
            <w:r>
              <w:rPr/>
              <w:t> </w:t>
            </w:r>
          </w:p>
        </w:tc>
      </w:tr>
      <w:tr>
        <w:trPr/>
        <w:tc>
          <w:tcPr>
            <w:tcW w:w="6638"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2266950" cy="457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266950" cy="457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BLOSSOMHILL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CONDENSED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4"/>
        <w:gridCol w:w="217"/>
        <w:gridCol w:w="174"/>
        <w:gridCol w:w="1226"/>
        <w:gridCol w:w="193"/>
        <w:gridCol w:w="176"/>
        <w:gridCol w:w="174"/>
        <w:gridCol w:w="1229"/>
        <w:gridCol w:w="155"/>
        <w:gridCol w:w="164"/>
        <w:gridCol w:w="157"/>
        <w:gridCol w:w="1120"/>
        <w:gridCol w:w="174"/>
        <w:gridCol w:w="170"/>
        <w:gridCol w:w="157"/>
        <w:gridCol w:w="1124"/>
        <w:gridCol w:w="161"/>
      </w:tblGrid>
      <w:tr>
        <w:trPr/>
        <w:tc>
          <w:tcPr>
            <w:tcW w:w="3434"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1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9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1" w:type="dxa"/>
            <w:tcBorders/>
            <w:vAlign w:val="bottom"/>
          </w:tcPr>
          <w:p>
            <w:pPr>
              <w:pStyle w:val="TableContents"/>
              <w:bidi w:val="0"/>
              <w:spacing w:before="0" w:after="283"/>
              <w:jc w:val="left"/>
              <w:rPr/>
            </w:pPr>
            <w:r>
              <w:rPr/>
              <w:t> </w:t>
            </w:r>
          </w:p>
        </w:tc>
      </w:tr>
      <w:tr>
        <w:trPr/>
        <w:tc>
          <w:tcPr>
            <w:tcW w:w="343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9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7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3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1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12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434"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1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21,355</w:t>
            </w:r>
          </w:p>
        </w:tc>
        <w:tc>
          <w:tcPr>
            <w:tcW w:w="19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12,530</w:t>
            </w:r>
          </w:p>
        </w:tc>
        <w:tc>
          <w:tcPr>
            <w:tcW w:w="15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1120" w:type="dxa"/>
            <w:tcBorders/>
            <w:vAlign w:val="bottom"/>
          </w:tcPr>
          <w:p>
            <w:pPr>
              <w:pStyle w:val="TableContents"/>
              <w:bidi w:val="0"/>
              <w:spacing w:before="0" w:after="283"/>
              <w:jc w:val="right"/>
              <w:rPr/>
            </w:pPr>
            <w:r>
              <w:rPr/>
              <w:t>41,256</w:t>
            </w:r>
          </w:p>
        </w:tc>
        <w:tc>
          <w:tcPr>
            <w:tcW w:w="17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1124" w:type="dxa"/>
            <w:tcBorders/>
            <w:vAlign w:val="bottom"/>
          </w:tcPr>
          <w:p>
            <w:pPr>
              <w:pStyle w:val="TableContents"/>
              <w:bidi w:val="0"/>
              <w:spacing w:before="0" w:after="283"/>
              <w:jc w:val="right"/>
              <w:rPr/>
            </w:pPr>
            <w:r>
              <w:rPr/>
              <w:t>22,102</w:t>
            </w:r>
          </w:p>
        </w:tc>
        <w:tc>
          <w:tcPr>
            <w:tcW w:w="161" w:type="dxa"/>
            <w:tcBorders/>
            <w:vAlign w:val="bottom"/>
          </w:tcPr>
          <w:p>
            <w:pPr>
              <w:pStyle w:val="TableContents"/>
              <w:bidi w:val="0"/>
              <w:spacing w:before="0" w:after="283"/>
              <w:jc w:val="left"/>
              <w:rPr/>
            </w:pPr>
            <w:r>
              <w:rPr/>
              <w:t> </w:t>
            </w:r>
          </w:p>
        </w:tc>
      </w:tr>
      <w:tr>
        <w:trPr/>
        <w:tc>
          <w:tcPr>
            <w:tcW w:w="3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1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3,315</w:t>
            </w:r>
          </w:p>
        </w:tc>
        <w:tc>
          <w:tcPr>
            <w:tcW w:w="19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1,573</w:t>
            </w:r>
          </w:p>
        </w:tc>
        <w:tc>
          <w:tcPr>
            <w:tcW w:w="15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5,521</w:t>
            </w:r>
          </w:p>
        </w:tc>
        <w:tc>
          <w:tcPr>
            <w:tcW w:w="17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3,455</w:t>
            </w:r>
          </w:p>
        </w:tc>
        <w:tc>
          <w:tcPr>
            <w:tcW w:w="161" w:type="dxa"/>
            <w:tcBorders/>
            <w:shd w:fill="CCEEFF" w:val="clear"/>
            <w:vAlign w:val="bottom"/>
          </w:tcPr>
          <w:p>
            <w:pPr>
              <w:pStyle w:val="TableContents"/>
              <w:bidi w:val="0"/>
              <w:spacing w:before="0" w:after="283"/>
              <w:jc w:val="left"/>
              <w:rPr/>
            </w:pPr>
            <w:r>
              <w:rPr/>
              <w:t> </w:t>
            </w:r>
          </w:p>
        </w:tc>
      </w:tr>
      <w:tr>
        <w:trPr/>
        <w:tc>
          <w:tcPr>
            <w:tcW w:w="3434"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34"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1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24,670</w:t>
            </w:r>
          </w:p>
        </w:tc>
        <w:tc>
          <w:tcPr>
            <w:tcW w:w="19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14,103</w:t>
            </w:r>
          </w:p>
        </w:tc>
        <w:tc>
          <w:tcPr>
            <w:tcW w:w="15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46,777</w:t>
            </w:r>
          </w:p>
        </w:tc>
        <w:tc>
          <w:tcPr>
            <w:tcW w:w="17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25,557</w:t>
            </w:r>
          </w:p>
        </w:tc>
        <w:tc>
          <w:tcPr>
            <w:tcW w:w="161" w:type="dxa"/>
            <w:tcBorders/>
            <w:vAlign w:val="bottom"/>
          </w:tcPr>
          <w:p>
            <w:pPr>
              <w:pStyle w:val="TableContents"/>
              <w:bidi w:val="0"/>
              <w:spacing w:before="0" w:after="283"/>
              <w:jc w:val="left"/>
              <w:rPr/>
            </w:pPr>
            <w:r>
              <w:rPr/>
              <w:t> </w:t>
            </w:r>
          </w:p>
        </w:tc>
      </w:tr>
      <w:tr>
        <w:trPr/>
        <w:tc>
          <w:tcPr>
            <w:tcW w:w="3434"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1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(24,670</w:t>
            </w:r>
          </w:p>
        </w:tc>
        <w:tc>
          <w:tcPr>
            <w:tcW w:w="19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(14,103</w:t>
            </w:r>
          </w:p>
        </w:tc>
        <w:tc>
          <w:tcPr>
            <w:tcW w:w="15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(46,777</w:t>
            </w:r>
          </w:p>
        </w:tc>
        <w:tc>
          <w:tcPr>
            <w:tcW w:w="17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(25,557</w:t>
            </w:r>
          </w:p>
        </w:tc>
        <w:tc>
          <w:tcPr>
            <w:tcW w:w="161" w:type="dxa"/>
            <w:tcBorders/>
            <w:shd w:fill="CCEEFF" w:val="clear"/>
            <w:vAlign w:val="bottom"/>
          </w:tcPr>
          <w:p>
            <w:pPr>
              <w:pStyle w:val="TableContents"/>
              <w:bidi w:val="0"/>
              <w:spacing w:before="0" w:after="283"/>
              <w:jc w:val="left"/>
              <w:rPr/>
            </w:pPr>
            <w:r>
              <w:rPr/>
              <w:t>) </w:t>
            </w:r>
          </w:p>
        </w:tc>
      </w:tr>
      <w:tr>
        <w:trPr/>
        <w:tc>
          <w:tcPr>
            <w:tcW w:w="3434"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1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sz w:val="4"/>
                <w:szCs w:val="4"/>
              </w:rPr>
            </w:pPr>
            <w:r>
              <w:rPr>
                <w:sz w:val="4"/>
                <w:szCs w:val="4"/>
              </w:rPr>
            </w:r>
          </w:p>
        </w:tc>
        <w:tc>
          <w:tcPr>
            <w:tcW w:w="112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21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915</w:t>
            </w:r>
          </w:p>
        </w:tc>
        <w:tc>
          <w:tcPr>
            <w:tcW w:w="19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859</w:t>
            </w:r>
          </w:p>
        </w:tc>
        <w:tc>
          <w:tcPr>
            <w:tcW w:w="15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2,017</w:t>
            </w:r>
          </w:p>
        </w:tc>
        <w:tc>
          <w:tcPr>
            <w:tcW w:w="17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1,835</w:t>
            </w:r>
          </w:p>
        </w:tc>
        <w:tc>
          <w:tcPr>
            <w:tcW w:w="161" w:type="dxa"/>
            <w:tcBorders/>
            <w:shd w:fill="CCEEFF" w:val="clear"/>
            <w:vAlign w:val="bottom"/>
          </w:tcPr>
          <w:p>
            <w:pPr>
              <w:pStyle w:val="TableContents"/>
              <w:bidi w:val="0"/>
              <w:spacing w:before="0" w:after="283"/>
              <w:jc w:val="left"/>
              <w:rPr/>
            </w:pPr>
            <w:r>
              <w:rPr/>
              <w:t> </w:t>
            </w:r>
          </w:p>
        </w:tc>
      </w:tr>
      <w:tr>
        <w:trPr/>
        <w:tc>
          <w:tcPr>
            <w:tcW w:w="3434"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net</w:t>
            </w:r>
          </w:p>
        </w:tc>
        <w:tc>
          <w:tcPr>
            <w:tcW w:w="21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w:t>
            </w:r>
          </w:p>
        </w:tc>
        <w:tc>
          <w:tcPr>
            <w:tcW w:w="19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(6</w:t>
            </w:r>
          </w:p>
        </w:tc>
        <w:tc>
          <w:tcPr>
            <w:tcW w:w="17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434"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21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912</w:t>
            </w:r>
          </w:p>
        </w:tc>
        <w:tc>
          <w:tcPr>
            <w:tcW w:w="19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859</w:t>
            </w:r>
          </w:p>
        </w:tc>
        <w:tc>
          <w:tcPr>
            <w:tcW w:w="15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2,011</w:t>
            </w:r>
          </w:p>
        </w:tc>
        <w:tc>
          <w:tcPr>
            <w:tcW w:w="17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1,835</w:t>
            </w:r>
          </w:p>
        </w:tc>
        <w:tc>
          <w:tcPr>
            <w:tcW w:w="161" w:type="dxa"/>
            <w:tcBorders/>
            <w:shd w:fill="CCEEFF" w:val="clear"/>
            <w:vAlign w:val="bottom"/>
          </w:tcPr>
          <w:p>
            <w:pPr>
              <w:pStyle w:val="TableContents"/>
              <w:bidi w:val="0"/>
              <w:spacing w:before="0" w:after="283"/>
              <w:jc w:val="left"/>
              <w:rPr/>
            </w:pPr>
            <w:r>
              <w:rPr/>
              <w:t> </w:t>
            </w:r>
          </w:p>
        </w:tc>
      </w:tr>
      <w:tr>
        <w:trPr/>
        <w:tc>
          <w:tcPr>
            <w:tcW w:w="3434"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34"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1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(23,758</w:t>
            </w:r>
          </w:p>
        </w:tc>
        <w:tc>
          <w:tcPr>
            <w:tcW w:w="19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(13,244</w:t>
            </w:r>
          </w:p>
        </w:tc>
        <w:tc>
          <w:tcPr>
            <w:tcW w:w="15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1120" w:type="dxa"/>
            <w:tcBorders/>
            <w:vAlign w:val="bottom"/>
          </w:tcPr>
          <w:p>
            <w:pPr>
              <w:pStyle w:val="TableContents"/>
              <w:bidi w:val="0"/>
              <w:spacing w:before="0" w:after="283"/>
              <w:jc w:val="right"/>
              <w:rPr/>
            </w:pPr>
            <w:r>
              <w:rPr/>
              <w:t>(44,766</w:t>
            </w:r>
          </w:p>
        </w:tc>
        <w:tc>
          <w:tcPr>
            <w:tcW w:w="17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1124" w:type="dxa"/>
            <w:tcBorders/>
            <w:vAlign w:val="bottom"/>
          </w:tcPr>
          <w:p>
            <w:pPr>
              <w:pStyle w:val="TableContents"/>
              <w:bidi w:val="0"/>
              <w:spacing w:before="0" w:after="283"/>
              <w:jc w:val="right"/>
              <w:rPr/>
            </w:pPr>
            <w:r>
              <w:rPr/>
              <w:t>(23,722</w:t>
            </w:r>
          </w:p>
        </w:tc>
        <w:tc>
          <w:tcPr>
            <w:tcW w:w="161" w:type="dxa"/>
            <w:tcBorders/>
            <w:vAlign w:val="bottom"/>
          </w:tcPr>
          <w:p>
            <w:pPr>
              <w:pStyle w:val="TableContents"/>
              <w:bidi w:val="0"/>
              <w:spacing w:before="0" w:after="283"/>
              <w:jc w:val="left"/>
              <w:rPr/>
            </w:pPr>
            <w:r>
              <w:rPr/>
              <w:t>) </w:t>
            </w:r>
          </w:p>
        </w:tc>
      </w:tr>
      <w:tr>
        <w:trPr/>
        <w:tc>
          <w:tcPr>
            <w:tcW w:w="3434"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2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120" w:type="dxa"/>
            <w:tcBorders/>
            <w:vAlign w:val="bottom"/>
          </w:tcPr>
          <w:p>
            <w:pPr>
              <w:pStyle w:val="TableContents"/>
              <w:pBdr>
                <w:top w:val="double" w:sz="6"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17"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(8.75</w:t>
            </w:r>
          </w:p>
        </w:tc>
        <w:tc>
          <w:tcPr>
            <w:tcW w:w="19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(5.51</w:t>
            </w:r>
          </w:p>
        </w:tc>
        <w:tc>
          <w:tcPr>
            <w:tcW w:w="15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(16.91</w:t>
            </w:r>
          </w:p>
        </w:tc>
        <w:tc>
          <w:tcPr>
            <w:tcW w:w="17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124" w:type="dxa"/>
            <w:tcBorders/>
            <w:shd w:fill="CCEEFF" w:val="clear"/>
            <w:vAlign w:val="bottom"/>
          </w:tcPr>
          <w:p>
            <w:pPr>
              <w:pStyle w:val="TableContents"/>
              <w:bidi w:val="0"/>
              <w:spacing w:before="0" w:after="283"/>
              <w:jc w:val="right"/>
              <w:rPr/>
            </w:pPr>
            <w:r>
              <w:rPr/>
              <w:t>(9.90</w:t>
            </w:r>
          </w:p>
        </w:tc>
        <w:tc>
          <w:tcPr>
            <w:tcW w:w="161" w:type="dxa"/>
            <w:tcBorders/>
            <w:shd w:fill="CCEEFF" w:val="clear"/>
            <w:vAlign w:val="bottom"/>
          </w:tcPr>
          <w:p>
            <w:pPr>
              <w:pStyle w:val="TableContents"/>
              <w:bidi w:val="0"/>
              <w:spacing w:before="0" w:after="283"/>
              <w:jc w:val="left"/>
              <w:rPr/>
            </w:pPr>
            <w:r>
              <w:rPr/>
              <w:t>) </w:t>
            </w:r>
          </w:p>
        </w:tc>
      </w:tr>
      <w:tr>
        <w:trPr/>
        <w:tc>
          <w:tcPr>
            <w:tcW w:w="3434"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2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120" w:type="dxa"/>
            <w:tcBorders/>
            <w:vAlign w:val="bottom"/>
          </w:tcPr>
          <w:p>
            <w:pPr>
              <w:pStyle w:val="TableContents"/>
              <w:pBdr>
                <w:top w:val="double" w:sz="6"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434"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217"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2,713,696</w:t>
            </w:r>
          </w:p>
        </w:tc>
        <w:tc>
          <w:tcPr>
            <w:tcW w:w="19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2,405,140</w:t>
            </w:r>
          </w:p>
        </w:tc>
        <w:tc>
          <w:tcPr>
            <w:tcW w:w="15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2,646,721</w:t>
            </w:r>
          </w:p>
        </w:tc>
        <w:tc>
          <w:tcPr>
            <w:tcW w:w="17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2,395,789</w:t>
            </w:r>
          </w:p>
        </w:tc>
        <w:tc>
          <w:tcPr>
            <w:tcW w:w="161" w:type="dxa"/>
            <w:tcBorders/>
            <w:vAlign w:val="bottom"/>
          </w:tcPr>
          <w:p>
            <w:pPr>
              <w:pStyle w:val="TableContents"/>
              <w:bidi w:val="0"/>
              <w:spacing w:before="0" w:after="283"/>
              <w:jc w:val="left"/>
              <w:rPr/>
            </w:pPr>
            <w:r>
              <w:rPr/>
              <w:t> </w:t>
            </w:r>
          </w:p>
        </w:tc>
      </w:tr>
      <w:tr>
        <w:trPr/>
        <w:tc>
          <w:tcPr>
            <w:tcW w:w="3434"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2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120" w:type="dxa"/>
            <w:tcBorders/>
            <w:vAlign w:val="bottom"/>
          </w:tcPr>
          <w:p>
            <w:pPr>
              <w:pStyle w:val="TableContents"/>
              <w:pBdr>
                <w:top w:val="double" w:sz="6"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2898</Words>
  <Characters>17180</Characters>
  <CharactersWithSpaces>20457</CharactersWithSpaces>
  <Paragraphs>830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