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CARL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03"/>
        <w:gridCol w:w="774"/>
        <w:gridCol w:w="600"/>
        <w:gridCol w:w="340"/>
        <w:gridCol w:w="1138"/>
        <w:gridCol w:w="429"/>
        <w:gridCol w:w="592"/>
        <w:gridCol w:w="1248"/>
        <w:gridCol w:w="96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1,049,283</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2,089,279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625,000</w:t>
            </w:r>
            <w:r>
              <w:rPr>
                <w:rFonts w:ascii="Times;serif" w:hAnsi="Times;serif"/>
                <w:color w:val="008000"/>
                <w:position w:val="7"/>
                <w:sz w:val="16"/>
                <w:sz w:val="20"/>
                <w:shd w:fill="FFFFFF" w:val="clear"/>
              </w:rPr>
              <w:t>(2)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2,714,279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27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1,039,996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1,049,283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and Series B Preferred Stock (together, the "Preferred Stock") automatically converted into 1 share of the Issuer's Common Stock upon the closing of the Issuer's initial public offering on August 10, 2026 without payment of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OrbiMed Private Investments VIII, LP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the Reporting Person, W. Carter Neild, and Geoffrey C. Hsu, each of whom disclaims beneficial ownership of the shares held by OPI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 OrbiMed Advisors, and GP VIII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the Reporting Person, OrbiMed Advisors, or GP VIII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2930" TargetMode="External"/><Relationship Id="rId5" Type="http://schemas.openxmlformats.org/officeDocument/2006/relationships/hyperlink" Target="http://www.sec.gov/cgi-bin/browse-edgar?action=getcompany&amp;CIK=00018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4809</Characters>
  <CharactersWithSpaces>5591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