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120812.xml.htm"/>
      <w:bookmarkStart w:id="1" w:name="ksform308072026_12081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GORDON CARL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37"/>
        <w:gridCol w:w="1222"/>
        <w:gridCol w:w="1123"/>
        <w:gridCol w:w="1274"/>
        <w:gridCol w:w="1138"/>
        <w:gridCol w:w="1253"/>
        <w:gridCol w:w="1210"/>
        <w:gridCol w:w="14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1,039,996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OrbiMed Private Investments VIII, LP</w:t>
            </w:r>
            <w:r>
              <w:rPr>
                <w:rFonts w:ascii="Times;serif" w:hAnsi="Times;serif"/>
                <w:color w:val="008000"/>
                <w:position w:val="7"/>
                <w:sz w:val="16"/>
                <w:sz w:val="20"/>
                <w:shd w:fill="FFFFFF" w:val="clear"/>
              </w:rPr>
              <w:t>(2)</w:t>
            </w:r>
          </w:p>
        </w:tc>
      </w:tr>
      <w:tr>
        <w:trPr/>
        <w:tc>
          <w:tcPr>
            <w:tcW w:w="15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1,049,283</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OrbiMed Private Investments VIII, LP</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and Series B Preferred Stock (together, the "Preferred Stock") is convertible into 1 share of Common Stock upon the closing of the Issuer's initial public offering without payment of further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by OrbiMed Private Investments VIII, LP ("OPI VIII"). OrbiMed Capital GP VIII LLC ("GP VIII") is the general partner of OPI VIII.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the Reporting Person, W. Carter Neild, and Geoffrey Hsu, each of whom disclaims beneficial ownership of the shares held by OPI VIII.</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Vincent Liptak,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072026_120819.htm"/>
      <w:bookmarkStart w:id="3" w:name="ksex2408072026_120819"/>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Jason Keyes, Vincent Liptak, and J. Jean Cui of BlossomHill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Carl L. Gordon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3241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  </w:t>
                            </w:r>
                            <w:r>
                              <w:rPr>
                                <w:u w:val="single"/>
                              </w:rPr>
                              <w:t>August 5,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August 5, 2026</w:t>
                      </w:r>
                    </w:p>
                  </w:txbxContent>
                </v:textbox>
                <w10:wrap type="square" side="right"/>
              </v:rect>
            </w:pict>
          </mc:Fallback>
        </mc:AlternateContent>
      </w:r>
    </w:p>
    <w:p>
      <w:pPr>
        <w:pStyle w:val="TextBody"/>
        <w:bidi w:val="0"/>
        <w:spacing w:before="0" w:after="0"/>
        <w:ind w:left="0" w:right="0" w:firstLine="4575"/>
        <w:jc w:val="both"/>
        <w:rPr/>
      </w:pPr>
      <w:r>
        <w:rPr/>
        <w:t>Name:  Carl L. Gordon</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338373821 v2</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82930" TargetMode="External"/><Relationship Id="rId3" Type="http://schemas.openxmlformats.org/officeDocument/2006/relationships/hyperlink" Target="http://www.sec.gov/cgi-bin/browse-edgar?action=getcompany&amp;CIK=00018399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1098</Words>
  <Characters>5825</Characters>
  <CharactersWithSpaces>6851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